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720" w:firstLineChars="200"/>
        <w:jc w:val="center"/>
        <w:rPr>
          <w:rFonts w:ascii="仿宋_GB2312" w:hAnsi="仿宋" w:eastAsia="仿宋_GB2312"/>
          <w:sz w:val="36"/>
          <w:szCs w:val="36"/>
        </w:rPr>
      </w:pPr>
    </w:p>
    <w:p>
      <w:pPr>
        <w:spacing w:line="560" w:lineRule="exact"/>
        <w:ind w:firstLine="880" w:firstLineChars="200"/>
        <w:jc w:val="center"/>
        <w:rPr>
          <w:rFonts w:ascii="黑体" w:hAnsi="黑体" w:eastAsia="黑体"/>
          <w:color w:val="000000" w:themeColor="text1"/>
          <w:sz w:val="44"/>
          <w:szCs w:val="44"/>
        </w:rPr>
      </w:pPr>
      <w:r>
        <w:rPr>
          <w:rFonts w:hint="eastAsia" w:ascii="黑体" w:hAnsi="黑体" w:eastAsia="黑体"/>
          <w:color w:val="000000" w:themeColor="text1"/>
          <w:sz w:val="44"/>
          <w:szCs w:val="44"/>
        </w:rPr>
        <w:t>2017年度中共霸州市委员会统战部决算信息公开情况说明</w:t>
      </w:r>
    </w:p>
    <w:p>
      <w:pPr>
        <w:widowControl/>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按照《预算法》、《河北省财政厅关于印发&lt;河北省预决算公开操作规程实施细则&gt;的通知》（冀财预</w:t>
      </w:r>
      <w:r>
        <w:rPr>
          <w:rFonts w:hint="eastAsia" w:ascii="宋体" w:hAnsi="宋体" w:cs="宋体"/>
          <w:color w:val="000000" w:themeColor="text1"/>
          <w:sz w:val="32"/>
          <w:szCs w:val="32"/>
        </w:rPr>
        <w:t>﹝</w:t>
      </w:r>
      <w:r>
        <w:rPr>
          <w:rFonts w:hint="eastAsia" w:ascii="仿宋_GB2312" w:hAnsi="仿宋" w:eastAsia="仿宋_GB2312"/>
          <w:color w:val="000000" w:themeColor="text1"/>
          <w:sz w:val="32"/>
          <w:szCs w:val="32"/>
        </w:rPr>
        <w:t>2016</w:t>
      </w:r>
      <w:r>
        <w:rPr>
          <w:rFonts w:hint="eastAsia" w:ascii="宋体" w:hAnsi="宋体" w:cs="宋体"/>
          <w:color w:val="000000" w:themeColor="text1"/>
          <w:sz w:val="32"/>
          <w:szCs w:val="32"/>
        </w:rPr>
        <w:t>﹞</w:t>
      </w:r>
      <w:r>
        <w:rPr>
          <w:rFonts w:hint="eastAsia" w:ascii="仿宋_GB2312" w:hAnsi="仿宋" w:eastAsia="仿宋_GB2312"/>
          <w:color w:val="000000" w:themeColor="text1"/>
          <w:sz w:val="32"/>
          <w:szCs w:val="32"/>
        </w:rPr>
        <w:t>129号）等规定，现将2017年部门决算公开如下：</w:t>
      </w:r>
    </w:p>
    <w:p>
      <w:pPr>
        <w:widowControl/>
        <w:numPr>
          <w:ilvl w:val="0"/>
          <w:numId w:val="1"/>
        </w:numPr>
        <w:spacing w:line="56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部门职责及机构设置情况</w:t>
      </w:r>
    </w:p>
    <w:p>
      <w:pPr>
        <w:widowControl/>
        <w:spacing w:line="560" w:lineRule="exact"/>
        <w:ind w:firstLine="560" w:firstLineChars="200"/>
        <w:rPr>
          <w:rFonts w:ascii="黑体" w:hAnsi="黑体" w:eastAsia="黑体" w:cs="黑体"/>
          <w:color w:val="000000" w:themeColor="text1"/>
          <w:sz w:val="28"/>
          <w:szCs w:val="28"/>
        </w:rPr>
      </w:pPr>
      <w:r>
        <w:rPr>
          <w:rFonts w:hint="eastAsia" w:ascii="黑体" w:hAnsi="黑体" w:eastAsia="黑体" w:cs="黑体"/>
          <w:color w:val="000000" w:themeColor="text1"/>
          <w:sz w:val="28"/>
          <w:szCs w:val="28"/>
        </w:rPr>
        <w:t>部门职责：</w:t>
      </w:r>
    </w:p>
    <w:p>
      <w:pPr>
        <w:widowControl/>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贯彻执行《中国共产党统一战线工作条例（试行）》及统一战线的方针政策，落实市委关于统一战线工作的部署，充分发挥统一战线的法宝作用开展调查研究，向市委反映统一战线全面情况，提出开展统一战线工作的意见和建议，检查统一战线政策执行情况，协调统一战线各方面关系。</w:t>
      </w:r>
    </w:p>
    <w:p>
      <w:pPr>
        <w:widowControl/>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（二）组织开展统一战线理论、政策的研究、宣传和教育，把统一战线工作纳入宣传工作计划，把统一战线理论、政策纳入市委党校教学内容，把统一战线知识纳入国民教育内容。</w:t>
      </w:r>
    </w:p>
    <w:p>
      <w:pPr>
        <w:widowControl/>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调查研究民族、宗教工作的理论、方针、政策和法律法规，牵头协调检查落实情况，做好重要工作和重大问题的处理，协调开展马克思主义民族观、宗教观和相关理论、政策的宣传教育，联系少数民族和宗教界的代表人士，会同有关部门做好少数民族干部培养和举荐工作。</w:t>
      </w:r>
    </w:p>
    <w:p>
      <w:pPr>
        <w:widowControl/>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调查研究非公有制经济人士的情况，协调关系，提出政策建议，团结、服务、引导、教育非公有制经济人士，开展思想政治工作；引导非公经济人士爱国、敬业、创新、守法、诚信、贡献，做合格的中国特色社会主义事业建设者。</w:t>
      </w:r>
    </w:p>
    <w:p>
      <w:pPr>
        <w:widowControl/>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五）开展港澳台海外统一战线工作，联系香港、澳门、台湾和海外有关党派、团体及代表人士，会同有关部门对香港、澳门地区统一战线工作方针政策和法律法规进行调查研究，做好台胞、台属有关工作，负责市委交办的其他港澳、对台工作。</w:t>
      </w:r>
    </w:p>
    <w:p>
      <w:pPr>
        <w:widowControl/>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（六）负责联系民主党派，牵头协调无党派人士工作，研究贯彻做好民主党派和无党派人士工作的方针政策，支持民主党派和无党派人士履行职责、发挥作用，支持、帮助民主党派和无党派人士加强自身建设。</w:t>
      </w:r>
    </w:p>
    <w:p>
      <w:pPr>
        <w:widowControl/>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（七）调查研究党外知识分子的情况，反映意见，协调关系，提出政策建议，联系党外知识分子代表人士。</w:t>
      </w:r>
    </w:p>
    <w:p>
      <w:pPr>
        <w:widowControl/>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八）负责党外代表人士在人大、政协安排的有关工作，会同有关部门做好安排党外代表人士担任政府和司法机关等领导职务的工作，做好党外代表人士和后备干部队伍建设工作，协助民主党派做好干部管理工作，反映和解决党外代表人士工作生活中的实际困难。</w:t>
      </w:r>
    </w:p>
    <w:p>
      <w:pPr>
        <w:widowControl/>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九）负责指导各乡镇（区、办）党委统战工作和统战干部的培训工作；协调政府有关部门统一战线工作，协助做好民族、宗教等工作部门领导班子成员推荐工作；领导工商联党组，指导工商联工作；做好有关统战团体管理工作；负责各乡镇（区、办）领导班子和领导干部统一战线工作的年度考核。</w:t>
      </w:r>
    </w:p>
    <w:p>
      <w:pPr>
        <w:widowControl/>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（十）完成中央、省和廊坊市委统战部以及市委交办的其他任务。</w:t>
      </w:r>
    </w:p>
    <w:p>
      <w:pPr>
        <w:widowControl/>
        <w:spacing w:line="560" w:lineRule="exact"/>
        <w:ind w:firstLine="640" w:firstLineChars="200"/>
        <w:rPr>
          <w:rFonts w:ascii="仿宋_GB2312" w:hAnsi="仿宋" w:eastAsia="仿宋_GB2312"/>
          <w:color w:val="FF0000"/>
          <w:sz w:val="32"/>
          <w:szCs w:val="32"/>
        </w:rPr>
      </w:pPr>
    </w:p>
    <w:p>
      <w:pPr>
        <w:widowControl/>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机构设置：</w:t>
      </w:r>
    </w:p>
    <w:p>
      <w:pPr>
        <w:spacing w:line="560" w:lineRule="exact"/>
        <w:ind w:firstLine="560" w:firstLineChars="200"/>
        <w:outlineLvl w:val="0"/>
        <w:rPr>
          <w:rFonts w:eastAsia="方正小标宋_GBK"/>
          <w:sz w:val="28"/>
          <w:szCs w:val="28"/>
        </w:rPr>
      </w:pPr>
      <w:r>
        <w:rPr>
          <w:rFonts w:eastAsia="方正小标宋_GBK"/>
          <w:sz w:val="28"/>
          <w:szCs w:val="28"/>
        </w:rPr>
        <w:t>部门机构设置情况</w:t>
      </w:r>
    </w:p>
    <w:tbl>
      <w:tblPr>
        <w:tblStyle w:val="4"/>
        <w:tblW w:w="12270" w:type="dxa"/>
        <w:jc w:val="center"/>
        <w:tblInd w:w="190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61"/>
        <w:gridCol w:w="2939"/>
        <w:gridCol w:w="1854"/>
        <w:gridCol w:w="42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0" w:hRule="atLeast"/>
          <w:tblHeader/>
          <w:jc w:val="center"/>
        </w:trPr>
        <w:tc>
          <w:tcPr>
            <w:tcW w:w="3261" w:type="dxa"/>
            <w:vMerge w:val="restart"/>
            <w:vAlign w:val="center"/>
          </w:tcPr>
          <w:p>
            <w:pPr>
              <w:spacing w:line="560" w:lineRule="exact"/>
              <w:jc w:val="center"/>
              <w:rPr>
                <w:rFonts w:eastAsia="方正书宋_GBK"/>
                <w:b/>
              </w:rPr>
            </w:pPr>
            <w:r>
              <w:rPr>
                <w:rFonts w:eastAsia="方正书宋_GBK"/>
                <w:b/>
              </w:rPr>
              <w:t>单位名称</w:t>
            </w:r>
          </w:p>
        </w:tc>
        <w:tc>
          <w:tcPr>
            <w:tcW w:w="2939" w:type="dxa"/>
            <w:vMerge w:val="restart"/>
            <w:vAlign w:val="center"/>
          </w:tcPr>
          <w:p>
            <w:pPr>
              <w:spacing w:line="560" w:lineRule="exact"/>
              <w:jc w:val="center"/>
              <w:rPr>
                <w:rFonts w:eastAsia="方正书宋_GBK"/>
                <w:b/>
              </w:rPr>
            </w:pPr>
            <w:r>
              <w:rPr>
                <w:rFonts w:eastAsia="方正书宋_GBK"/>
                <w:b/>
              </w:rPr>
              <w:t>单位性质</w:t>
            </w:r>
          </w:p>
        </w:tc>
        <w:tc>
          <w:tcPr>
            <w:tcW w:w="1854" w:type="dxa"/>
            <w:vMerge w:val="restart"/>
            <w:vAlign w:val="center"/>
          </w:tcPr>
          <w:p>
            <w:pPr>
              <w:spacing w:line="560" w:lineRule="exact"/>
              <w:jc w:val="center"/>
              <w:rPr>
                <w:rFonts w:eastAsia="方正书宋_GBK"/>
                <w:b/>
              </w:rPr>
            </w:pPr>
            <w:r>
              <w:rPr>
                <w:rFonts w:eastAsia="方正书宋_GBK"/>
                <w:b/>
              </w:rPr>
              <w:t>单位规格</w:t>
            </w:r>
          </w:p>
        </w:tc>
        <w:tc>
          <w:tcPr>
            <w:tcW w:w="4216" w:type="dxa"/>
            <w:vMerge w:val="restart"/>
            <w:vAlign w:val="center"/>
          </w:tcPr>
          <w:p>
            <w:pPr>
              <w:spacing w:line="560" w:lineRule="exact"/>
              <w:jc w:val="center"/>
              <w:rPr>
                <w:rFonts w:eastAsia="方正书宋_GBK"/>
                <w:b/>
              </w:rPr>
            </w:pPr>
            <w:r>
              <w:rPr>
                <w:rFonts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0" w:hRule="atLeast"/>
          <w:tblHeader/>
          <w:jc w:val="center"/>
        </w:trPr>
        <w:tc>
          <w:tcPr>
            <w:tcW w:w="3261" w:type="dxa"/>
            <w:vMerge w:val="continue"/>
            <w:vAlign w:val="center"/>
          </w:tcPr>
          <w:p>
            <w:pPr>
              <w:spacing w:line="560" w:lineRule="exact"/>
              <w:ind w:firstLine="420" w:firstLineChars="200"/>
              <w:jc w:val="center"/>
              <w:outlineLvl w:val="0"/>
            </w:pPr>
          </w:p>
        </w:tc>
        <w:tc>
          <w:tcPr>
            <w:tcW w:w="2939" w:type="dxa"/>
            <w:vMerge w:val="continue"/>
            <w:vAlign w:val="center"/>
          </w:tcPr>
          <w:p>
            <w:pPr>
              <w:spacing w:line="560" w:lineRule="exact"/>
              <w:ind w:firstLine="420" w:firstLineChars="200"/>
              <w:jc w:val="center"/>
              <w:outlineLvl w:val="0"/>
            </w:pPr>
          </w:p>
        </w:tc>
        <w:tc>
          <w:tcPr>
            <w:tcW w:w="1854" w:type="dxa"/>
            <w:vMerge w:val="continue"/>
            <w:vAlign w:val="center"/>
          </w:tcPr>
          <w:p>
            <w:pPr>
              <w:spacing w:line="560" w:lineRule="exact"/>
              <w:ind w:firstLine="420" w:firstLineChars="200"/>
              <w:jc w:val="center"/>
              <w:outlineLvl w:val="0"/>
            </w:pPr>
          </w:p>
        </w:tc>
        <w:tc>
          <w:tcPr>
            <w:tcW w:w="4216" w:type="dxa"/>
            <w:vMerge w:val="continue"/>
            <w:vAlign w:val="center"/>
          </w:tcPr>
          <w:p>
            <w:pPr>
              <w:spacing w:line="560" w:lineRule="exact"/>
              <w:ind w:firstLine="420" w:firstLineChars="200"/>
              <w:jc w:val="center"/>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1" w:hRule="atLeast"/>
          <w:jc w:val="center"/>
        </w:trPr>
        <w:tc>
          <w:tcPr>
            <w:tcW w:w="3261" w:type="dxa"/>
            <w:vAlign w:val="center"/>
          </w:tcPr>
          <w:p>
            <w:pPr>
              <w:spacing w:line="560" w:lineRule="exact"/>
              <w:jc w:val="center"/>
              <w:rPr>
                <w:rFonts w:eastAsia="方正书宋_GBK"/>
                <w:color w:val="000000" w:themeColor="text1"/>
              </w:rPr>
            </w:pPr>
            <w:r>
              <w:rPr>
                <w:rFonts w:hint="eastAsia" w:eastAsia="方正书宋_GBK"/>
                <w:color w:val="000000" w:themeColor="text1"/>
              </w:rPr>
              <w:t>中共霸州市委员会统战部</w:t>
            </w:r>
          </w:p>
        </w:tc>
        <w:tc>
          <w:tcPr>
            <w:tcW w:w="2939" w:type="dxa"/>
            <w:vAlign w:val="center"/>
          </w:tcPr>
          <w:p>
            <w:pPr>
              <w:spacing w:line="560" w:lineRule="exact"/>
              <w:jc w:val="center"/>
              <w:rPr>
                <w:rFonts w:eastAsia="方正书宋_GBK"/>
                <w:color w:val="000000" w:themeColor="text1"/>
              </w:rPr>
            </w:pPr>
            <w:r>
              <w:rPr>
                <w:rFonts w:eastAsia="方正书宋_GBK"/>
                <w:color w:val="000000" w:themeColor="text1"/>
              </w:rPr>
              <w:t>行政</w:t>
            </w:r>
          </w:p>
        </w:tc>
        <w:tc>
          <w:tcPr>
            <w:tcW w:w="1854" w:type="dxa"/>
            <w:vAlign w:val="center"/>
          </w:tcPr>
          <w:p>
            <w:pPr>
              <w:spacing w:line="560" w:lineRule="exact"/>
              <w:jc w:val="center"/>
              <w:rPr>
                <w:rFonts w:eastAsia="方正书宋_GBK"/>
                <w:color w:val="000000" w:themeColor="text1"/>
              </w:rPr>
            </w:pPr>
            <w:r>
              <w:rPr>
                <w:rFonts w:eastAsia="方正书宋_GBK"/>
                <w:color w:val="000000" w:themeColor="text1"/>
              </w:rPr>
              <w:t>正</w:t>
            </w:r>
            <w:r>
              <w:rPr>
                <w:rFonts w:hint="eastAsia" w:eastAsia="方正书宋_GBK"/>
                <w:color w:val="000000" w:themeColor="text1"/>
              </w:rPr>
              <w:t>科</w:t>
            </w:r>
            <w:r>
              <w:rPr>
                <w:rFonts w:eastAsia="方正书宋_GBK"/>
                <w:color w:val="000000" w:themeColor="text1"/>
              </w:rPr>
              <w:t>级</w:t>
            </w:r>
          </w:p>
        </w:tc>
        <w:tc>
          <w:tcPr>
            <w:tcW w:w="4216" w:type="dxa"/>
            <w:vAlign w:val="center"/>
          </w:tcPr>
          <w:p>
            <w:pPr>
              <w:spacing w:line="560" w:lineRule="exact"/>
              <w:jc w:val="center"/>
              <w:rPr>
                <w:rFonts w:eastAsia="方正书宋_GBK"/>
                <w:color w:val="000000" w:themeColor="text1"/>
              </w:rPr>
            </w:pPr>
            <w:r>
              <w:rPr>
                <w:rFonts w:eastAsia="方正书宋_GBK"/>
                <w:color w:val="000000" w:themeColor="text1"/>
              </w:rPr>
              <w:t>财政拨款</w:t>
            </w:r>
          </w:p>
        </w:tc>
      </w:tr>
    </w:tbl>
    <w:p>
      <w:pPr>
        <w:spacing w:line="560" w:lineRule="exact"/>
        <w:ind w:firstLine="562" w:firstLineChars="200"/>
        <w:rPr>
          <w:rFonts w:ascii="仿宋" w:hAnsi="仿宋" w:eastAsia="仿宋" w:cs="仿宋"/>
          <w:b/>
          <w:bCs/>
          <w:color w:val="000000" w:themeColor="text1"/>
          <w:sz w:val="28"/>
          <w:szCs w:val="28"/>
          <w:highlight w:val="none"/>
        </w:rPr>
      </w:pPr>
      <w:r>
        <w:rPr>
          <w:rFonts w:hint="eastAsia" w:ascii="仿宋" w:hAnsi="仿宋" w:eastAsia="仿宋" w:cs="仿宋"/>
          <w:b/>
          <w:bCs/>
          <w:color w:val="000000" w:themeColor="text1"/>
          <w:sz w:val="28"/>
          <w:szCs w:val="28"/>
          <w:highlight w:val="none"/>
        </w:rPr>
        <w:t>注：我单位为1级预算单位，无下属单位，无汇总决算。</w:t>
      </w:r>
    </w:p>
    <w:p>
      <w:pPr>
        <w:spacing w:line="560" w:lineRule="exact"/>
        <w:ind w:firstLine="560" w:firstLineChars="200"/>
        <w:rPr>
          <w:rFonts w:ascii="黑体" w:hAnsi="黑体" w:eastAsia="黑体"/>
          <w:sz w:val="32"/>
          <w:szCs w:val="32"/>
        </w:rPr>
      </w:pPr>
      <w:r>
        <w:rPr>
          <w:rFonts w:hint="eastAsia" w:eastAsia="黑体"/>
          <w:sz w:val="28"/>
          <w:szCs w:val="28"/>
        </w:rPr>
        <w:t>二、</w:t>
      </w:r>
      <w:r>
        <w:rPr>
          <w:rFonts w:hint="eastAsia" w:ascii="黑体" w:hAnsi="黑体" w:eastAsia="黑体"/>
          <w:sz w:val="32"/>
          <w:szCs w:val="32"/>
        </w:rPr>
        <w:t>部门决算报表（见附表）</w:t>
      </w:r>
    </w:p>
    <w:p>
      <w:pPr>
        <w:ind w:firstLine="640" w:firstLineChars="200"/>
        <w:rPr>
          <w:rFonts w:ascii="仿宋" w:hAnsi="仿宋" w:eastAsia="仿宋"/>
          <w:sz w:val="32"/>
          <w:szCs w:val="32"/>
        </w:rPr>
      </w:pPr>
      <w:r>
        <w:rPr>
          <w:rFonts w:hint="eastAsia" w:ascii="仿宋" w:hAnsi="仿宋" w:eastAsia="仿宋"/>
          <w:sz w:val="32"/>
          <w:szCs w:val="32"/>
        </w:rPr>
        <w:t>（一）收入支出决算总表</w:t>
      </w:r>
    </w:p>
    <w:p>
      <w:pPr>
        <w:ind w:firstLine="640" w:firstLineChars="200"/>
        <w:rPr>
          <w:rFonts w:ascii="仿宋" w:hAnsi="仿宋" w:eastAsia="仿宋"/>
          <w:sz w:val="32"/>
          <w:szCs w:val="32"/>
        </w:rPr>
      </w:pPr>
      <w:r>
        <w:rPr>
          <w:rFonts w:hint="eastAsia" w:ascii="仿宋" w:hAnsi="仿宋" w:eastAsia="仿宋"/>
          <w:sz w:val="32"/>
          <w:szCs w:val="32"/>
        </w:rPr>
        <w:t>（二）收入决算表</w:t>
      </w:r>
    </w:p>
    <w:p>
      <w:pPr>
        <w:ind w:firstLine="640" w:firstLineChars="200"/>
        <w:rPr>
          <w:rFonts w:ascii="仿宋" w:hAnsi="仿宋" w:eastAsia="仿宋"/>
          <w:sz w:val="32"/>
          <w:szCs w:val="32"/>
        </w:rPr>
      </w:pPr>
      <w:r>
        <w:rPr>
          <w:rFonts w:hint="eastAsia" w:ascii="仿宋" w:hAnsi="仿宋" w:eastAsia="仿宋"/>
          <w:sz w:val="32"/>
          <w:szCs w:val="32"/>
        </w:rPr>
        <w:t>（三）支出决算表</w:t>
      </w:r>
    </w:p>
    <w:p>
      <w:pPr>
        <w:ind w:firstLine="640" w:firstLineChars="200"/>
        <w:rPr>
          <w:rFonts w:ascii="仿宋" w:hAnsi="仿宋" w:eastAsia="仿宋"/>
          <w:sz w:val="32"/>
          <w:szCs w:val="32"/>
        </w:rPr>
      </w:pPr>
      <w:r>
        <w:rPr>
          <w:rFonts w:hint="eastAsia" w:ascii="仿宋" w:hAnsi="仿宋" w:eastAsia="仿宋"/>
          <w:sz w:val="32"/>
          <w:szCs w:val="32"/>
        </w:rPr>
        <w:t>（四）财政拨款收入支出决算总表</w:t>
      </w:r>
    </w:p>
    <w:p>
      <w:pPr>
        <w:ind w:firstLine="640" w:firstLineChars="200"/>
        <w:rPr>
          <w:rFonts w:ascii="仿宋" w:hAnsi="仿宋" w:eastAsia="仿宋"/>
          <w:sz w:val="32"/>
          <w:szCs w:val="32"/>
        </w:rPr>
      </w:pPr>
      <w:r>
        <w:rPr>
          <w:rFonts w:hint="eastAsia" w:ascii="仿宋" w:hAnsi="仿宋" w:eastAsia="仿宋"/>
          <w:sz w:val="32"/>
          <w:szCs w:val="32"/>
        </w:rPr>
        <w:t>（五）一般公共预算财政拨款支出决算表</w:t>
      </w:r>
    </w:p>
    <w:p>
      <w:pPr>
        <w:ind w:firstLine="640" w:firstLineChars="200"/>
        <w:rPr>
          <w:rFonts w:ascii="仿宋" w:hAnsi="仿宋" w:eastAsia="仿宋"/>
          <w:sz w:val="32"/>
          <w:szCs w:val="32"/>
        </w:rPr>
      </w:pPr>
      <w:r>
        <w:rPr>
          <w:rFonts w:hint="eastAsia" w:ascii="仿宋" w:hAnsi="仿宋" w:eastAsia="仿宋"/>
          <w:sz w:val="32"/>
          <w:szCs w:val="32"/>
        </w:rPr>
        <w:t>（六）一般公共预算财政拨款基本支出决算表</w:t>
      </w:r>
    </w:p>
    <w:p>
      <w:pPr>
        <w:ind w:firstLine="640" w:firstLineChars="200"/>
        <w:rPr>
          <w:rFonts w:ascii="仿宋" w:hAnsi="仿宋" w:eastAsia="仿宋"/>
          <w:sz w:val="32"/>
          <w:szCs w:val="32"/>
        </w:rPr>
      </w:pPr>
      <w:r>
        <w:rPr>
          <w:rFonts w:hint="eastAsia" w:ascii="仿宋" w:hAnsi="仿宋" w:eastAsia="仿宋"/>
          <w:sz w:val="32"/>
          <w:szCs w:val="32"/>
        </w:rPr>
        <w:t>（七）政府性基金预算财政拨款收入支出决算表</w:t>
      </w:r>
    </w:p>
    <w:p>
      <w:pPr>
        <w:ind w:firstLine="640" w:firstLineChars="200"/>
        <w:rPr>
          <w:rFonts w:ascii="仿宋" w:hAnsi="仿宋" w:eastAsia="仿宋"/>
          <w:sz w:val="32"/>
          <w:szCs w:val="32"/>
        </w:rPr>
      </w:pPr>
      <w:r>
        <w:rPr>
          <w:rFonts w:hint="eastAsia" w:ascii="仿宋" w:hAnsi="仿宋" w:eastAsia="仿宋"/>
          <w:sz w:val="32"/>
          <w:szCs w:val="32"/>
        </w:rPr>
        <w:t>（八）国有资本经营预算财政拨款支出决算表</w:t>
      </w:r>
    </w:p>
    <w:p>
      <w:pPr>
        <w:ind w:firstLine="640" w:firstLineChars="200"/>
        <w:rPr>
          <w:rFonts w:ascii="仿宋" w:hAnsi="仿宋" w:eastAsia="仿宋"/>
          <w:sz w:val="32"/>
          <w:szCs w:val="32"/>
        </w:rPr>
      </w:pPr>
      <w:r>
        <w:rPr>
          <w:rFonts w:hint="eastAsia" w:ascii="仿宋" w:hAnsi="仿宋" w:eastAsia="仿宋"/>
          <w:sz w:val="32"/>
          <w:szCs w:val="32"/>
        </w:rPr>
        <w:t>（九）“三公”经费及相关信息统计表</w:t>
      </w:r>
    </w:p>
    <w:p>
      <w:pPr>
        <w:ind w:firstLine="640" w:firstLineChars="200"/>
        <w:rPr>
          <w:rFonts w:ascii="仿宋" w:hAnsi="仿宋" w:eastAsia="仿宋"/>
          <w:sz w:val="32"/>
          <w:szCs w:val="32"/>
        </w:rPr>
      </w:pPr>
      <w:r>
        <w:rPr>
          <w:rFonts w:hint="eastAsia" w:ascii="仿宋" w:hAnsi="仿宋" w:eastAsia="仿宋"/>
          <w:sz w:val="32"/>
          <w:szCs w:val="32"/>
        </w:rPr>
        <w:t>（十）政府采购情况表</w:t>
      </w:r>
    </w:p>
    <w:p>
      <w:pPr>
        <w:spacing w:line="560" w:lineRule="exact"/>
        <w:ind w:firstLine="640" w:firstLineChars="200"/>
        <w:rPr>
          <w:rFonts w:ascii="黑体" w:hAnsi="黑体" w:eastAsia="黑体"/>
          <w:sz w:val="32"/>
          <w:szCs w:val="32"/>
        </w:rPr>
      </w:pPr>
      <w:r>
        <w:rPr>
          <w:rFonts w:hint="eastAsia" w:eastAsia="黑体"/>
          <w:sz w:val="32"/>
          <w:szCs w:val="32"/>
        </w:rPr>
        <w:t>三</w:t>
      </w:r>
      <w:r>
        <w:rPr>
          <w:rFonts w:eastAsia="黑体"/>
          <w:sz w:val="32"/>
          <w:szCs w:val="32"/>
        </w:rPr>
        <w:t>、</w:t>
      </w:r>
      <w:r>
        <w:rPr>
          <w:rFonts w:hint="eastAsia" w:ascii="黑体" w:hAnsi="黑体" w:eastAsia="黑体"/>
          <w:sz w:val="32"/>
          <w:szCs w:val="32"/>
        </w:rPr>
        <w:t>2017年度部门决算情况说明</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（一）收入支出决算总体情况说明</w:t>
      </w:r>
    </w:p>
    <w:p>
      <w:pPr>
        <w:snapToGrid w:val="0"/>
        <w:spacing w:line="560" w:lineRule="exact"/>
        <w:ind w:firstLine="640" w:firstLineChars="200"/>
        <w:rPr>
          <w:rFonts w:ascii="仿宋_GB2312" w:hAnsi="仿宋_GB2312" w:eastAsia="仿宋_GB2312"/>
          <w:color w:val="000000" w:themeColor="text1"/>
          <w:sz w:val="32"/>
          <w:szCs w:val="32"/>
        </w:rPr>
      </w:pPr>
      <w:r>
        <w:rPr>
          <w:rFonts w:hint="eastAsia" w:ascii="仿宋_GB2312" w:hAnsi="仿宋" w:eastAsia="仿宋_GB2312"/>
          <w:color w:val="000000" w:themeColor="text1"/>
          <w:sz w:val="32"/>
          <w:szCs w:val="32"/>
        </w:rPr>
        <w:t>中共霸州市委员会统战部部门</w:t>
      </w:r>
      <w:r>
        <w:rPr>
          <w:rFonts w:ascii="仿宋_GB2312" w:hAnsi="仿宋" w:eastAsia="仿宋_GB2312"/>
          <w:color w:val="000000" w:themeColor="text1"/>
          <w:sz w:val="32"/>
          <w:szCs w:val="32"/>
        </w:rPr>
        <w:t>201</w:t>
      </w:r>
      <w:r>
        <w:rPr>
          <w:rFonts w:hint="eastAsia" w:ascii="仿宋_GB2312" w:hAnsi="仿宋" w:eastAsia="仿宋_GB2312"/>
          <w:color w:val="000000" w:themeColor="text1"/>
          <w:sz w:val="32"/>
          <w:szCs w:val="32"/>
        </w:rPr>
        <w:t>7</w:t>
      </w:r>
      <w:r>
        <w:rPr>
          <w:rFonts w:ascii="仿宋_GB2312" w:hAnsi="仿宋" w:eastAsia="仿宋_GB2312"/>
          <w:color w:val="000000" w:themeColor="text1"/>
          <w:sz w:val="32"/>
          <w:szCs w:val="32"/>
        </w:rPr>
        <w:t>年</w:t>
      </w:r>
      <w:r>
        <w:rPr>
          <w:rFonts w:hint="eastAsia" w:ascii="仿宋_GB2312" w:hAnsi="仿宋" w:eastAsia="仿宋_GB2312"/>
          <w:color w:val="000000" w:themeColor="text1"/>
          <w:sz w:val="32"/>
          <w:szCs w:val="32"/>
        </w:rPr>
        <w:t>度</w:t>
      </w:r>
      <w:r>
        <w:rPr>
          <w:rFonts w:ascii="仿宋_GB2312" w:hAnsi="仿宋_GB2312" w:eastAsia="仿宋_GB2312"/>
          <w:color w:val="000000" w:themeColor="text1"/>
          <w:sz w:val="32"/>
        </w:rPr>
        <w:t>决算收入总计</w:t>
      </w:r>
      <w:r>
        <w:rPr>
          <w:rFonts w:hint="eastAsia" w:ascii="仿宋_GB2312" w:hAnsi="仿宋" w:eastAsia="仿宋_GB2312"/>
          <w:color w:val="000000" w:themeColor="text1"/>
          <w:sz w:val="32"/>
          <w:szCs w:val="32"/>
        </w:rPr>
        <w:t>260.75</w:t>
      </w:r>
      <w:r>
        <w:rPr>
          <w:rFonts w:ascii="仿宋_GB2312" w:hAnsi="仿宋_GB2312" w:eastAsia="仿宋_GB2312"/>
          <w:color w:val="000000" w:themeColor="text1"/>
          <w:sz w:val="32"/>
        </w:rPr>
        <w:t>万元，决算支出总计</w:t>
      </w:r>
      <w:r>
        <w:rPr>
          <w:rFonts w:hint="eastAsia" w:ascii="仿宋_GB2312" w:hAnsi="仿宋" w:eastAsia="仿宋_GB2312"/>
          <w:color w:val="000000" w:themeColor="text1"/>
          <w:sz w:val="32"/>
          <w:szCs w:val="32"/>
        </w:rPr>
        <w:t>267.51</w:t>
      </w:r>
      <w:r>
        <w:rPr>
          <w:rFonts w:ascii="仿宋_GB2312" w:hAnsi="仿宋_GB2312" w:eastAsia="仿宋_GB2312"/>
          <w:color w:val="000000" w:themeColor="text1"/>
          <w:sz w:val="32"/>
        </w:rPr>
        <w:t>万元。与2016年</w:t>
      </w:r>
      <w:r>
        <w:rPr>
          <w:rFonts w:hint="eastAsia" w:ascii="仿宋_GB2312" w:hAnsi="仿宋_GB2312" w:eastAsia="仿宋_GB2312"/>
          <w:color w:val="000000" w:themeColor="text1"/>
          <w:sz w:val="32"/>
        </w:rPr>
        <w:t>度决算</w:t>
      </w:r>
      <w:r>
        <w:rPr>
          <w:rFonts w:ascii="仿宋_GB2312" w:hAnsi="仿宋_GB2312" w:eastAsia="仿宋_GB2312"/>
          <w:color w:val="000000" w:themeColor="text1"/>
          <w:sz w:val="32"/>
        </w:rPr>
        <w:t>相比，</w:t>
      </w:r>
      <w:r>
        <w:rPr>
          <w:rFonts w:hint="eastAsia" w:ascii="仿宋_GB2312" w:hAnsi="仿宋_GB2312" w:eastAsia="仿宋_GB2312"/>
          <w:color w:val="000000" w:themeColor="text1"/>
          <w:sz w:val="32"/>
        </w:rPr>
        <w:t>收入增加125.43</w:t>
      </w:r>
      <w:r>
        <w:rPr>
          <w:rFonts w:ascii="仿宋_GB2312" w:hAnsi="仿宋_GB2312" w:eastAsia="仿宋_GB2312"/>
          <w:color w:val="000000" w:themeColor="text1"/>
          <w:sz w:val="32"/>
        </w:rPr>
        <w:t>万元，</w:t>
      </w:r>
      <w:r>
        <w:rPr>
          <w:rFonts w:hint="eastAsia" w:ascii="仿宋_GB2312" w:hAnsi="仿宋_GB2312" w:eastAsia="仿宋_GB2312"/>
          <w:color w:val="000000" w:themeColor="text1"/>
          <w:sz w:val="32"/>
        </w:rPr>
        <w:t>增长</w:t>
      </w:r>
      <w:r>
        <w:rPr>
          <w:rFonts w:hint="eastAsia" w:ascii="仿宋_GB2312" w:hAnsi="仿宋_GB2312" w:eastAsia="仿宋_GB2312"/>
          <w:color w:val="000000" w:themeColor="text1"/>
          <w:sz w:val="32"/>
          <w:lang w:val="en-US" w:eastAsia="zh-CN"/>
        </w:rPr>
        <w:t>92.69</w:t>
      </w:r>
      <w:r>
        <w:rPr>
          <w:rFonts w:ascii="仿宋_GB2312" w:hAnsi="仿宋_GB2312" w:eastAsia="仿宋_GB2312"/>
          <w:color w:val="000000" w:themeColor="text1"/>
          <w:sz w:val="32"/>
        </w:rPr>
        <w:t>%，主要原因是</w:t>
      </w:r>
      <w:r>
        <w:rPr>
          <w:rFonts w:hint="eastAsia" w:ascii="仿宋" w:hAnsi="仿宋" w:eastAsia="仿宋" w:cs="仿宋"/>
          <w:color w:val="000000" w:themeColor="text1"/>
          <w:sz w:val="32"/>
          <w:szCs w:val="32"/>
          <w:highlight w:val="none"/>
        </w:rPr>
        <w:t>大</w:t>
      </w:r>
      <w:r>
        <w:rPr>
          <w:rFonts w:hint="eastAsia" w:ascii="仿宋" w:hAnsi="仿宋" w:eastAsia="仿宋" w:cs="仿宋"/>
          <w:color w:val="000000" w:themeColor="text1"/>
          <w:sz w:val="32"/>
          <w:szCs w:val="32"/>
        </w:rPr>
        <w:t>统战整合，民宗局预算并入统战部</w:t>
      </w:r>
      <w:r>
        <w:rPr>
          <w:rFonts w:hint="eastAsia" w:ascii="仿宋_GB2312" w:hAnsi="仿宋_GB2312" w:eastAsia="仿宋_GB2312"/>
          <w:color w:val="000000" w:themeColor="text1"/>
          <w:sz w:val="32"/>
        </w:rPr>
        <w:t>；支出增加139.52</w:t>
      </w:r>
      <w:r>
        <w:rPr>
          <w:rFonts w:ascii="仿宋_GB2312" w:hAnsi="仿宋_GB2312" w:eastAsia="仿宋_GB2312"/>
          <w:color w:val="000000" w:themeColor="text1"/>
          <w:sz w:val="32"/>
        </w:rPr>
        <w:t>万元，</w:t>
      </w:r>
      <w:r>
        <w:rPr>
          <w:rFonts w:hint="eastAsia" w:ascii="仿宋_GB2312" w:hAnsi="仿宋_GB2312" w:eastAsia="仿宋_GB2312"/>
          <w:color w:val="000000" w:themeColor="text1"/>
          <w:sz w:val="32"/>
        </w:rPr>
        <w:t>增长109</w:t>
      </w:r>
      <w:r>
        <w:rPr>
          <w:rFonts w:hint="eastAsia" w:ascii="仿宋_GB2312" w:hAnsi="仿宋_GB2312" w:eastAsia="仿宋_GB2312"/>
          <w:color w:val="000000" w:themeColor="text1"/>
          <w:sz w:val="32"/>
          <w:lang w:val="en-US" w:eastAsia="zh-CN"/>
        </w:rPr>
        <w:t>.01</w:t>
      </w:r>
      <w:r>
        <w:rPr>
          <w:rFonts w:ascii="仿宋_GB2312" w:hAnsi="仿宋_GB2312" w:eastAsia="仿宋_GB2312"/>
          <w:color w:val="000000" w:themeColor="text1"/>
          <w:sz w:val="32"/>
        </w:rPr>
        <w:t>%，主要原因是</w:t>
      </w:r>
      <w:r>
        <w:rPr>
          <w:rFonts w:hint="eastAsia" w:ascii="仿宋" w:hAnsi="仿宋" w:eastAsia="仿宋" w:cs="仿宋"/>
          <w:color w:val="000000" w:themeColor="text1"/>
          <w:sz w:val="32"/>
          <w:szCs w:val="32"/>
        </w:rPr>
        <w:t>大统战整合，民宗局预算并入统战部</w:t>
      </w:r>
      <w:r>
        <w:rPr>
          <w:rFonts w:hint="eastAsia" w:ascii="仿宋_GB2312" w:hAnsi="仿宋" w:eastAsia="仿宋_GB2312"/>
          <w:color w:val="000000" w:themeColor="text1"/>
          <w:sz w:val="32"/>
          <w:szCs w:val="32"/>
        </w:rPr>
        <w:t>。</w:t>
      </w:r>
    </w:p>
    <w:p>
      <w:pPr>
        <w:snapToGrid w:val="0"/>
        <w:spacing w:line="560" w:lineRule="exact"/>
        <w:ind w:firstLine="643" w:firstLineChars="200"/>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（二）收入决算情况说明</w:t>
      </w:r>
    </w:p>
    <w:p>
      <w:pPr>
        <w:widowControl/>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中共霸州市委员会统战部部门</w:t>
      </w:r>
      <w:r>
        <w:rPr>
          <w:rFonts w:ascii="仿宋_GB2312" w:hAnsi="仿宋" w:eastAsia="仿宋_GB2312"/>
          <w:color w:val="000000" w:themeColor="text1"/>
          <w:sz w:val="32"/>
          <w:szCs w:val="32"/>
        </w:rPr>
        <w:t>201</w:t>
      </w:r>
      <w:r>
        <w:rPr>
          <w:rFonts w:hint="eastAsia" w:ascii="仿宋_GB2312" w:hAnsi="仿宋" w:eastAsia="仿宋_GB2312"/>
          <w:color w:val="000000" w:themeColor="text1"/>
          <w:sz w:val="32"/>
          <w:szCs w:val="32"/>
        </w:rPr>
        <w:t>7</w:t>
      </w:r>
      <w:r>
        <w:rPr>
          <w:rFonts w:ascii="仿宋_GB2312" w:hAnsi="仿宋" w:eastAsia="仿宋_GB2312"/>
          <w:color w:val="000000" w:themeColor="text1"/>
          <w:sz w:val="32"/>
          <w:szCs w:val="32"/>
        </w:rPr>
        <w:t>年</w:t>
      </w:r>
      <w:r>
        <w:rPr>
          <w:rFonts w:hint="eastAsia" w:ascii="仿宋_GB2312" w:hAnsi="仿宋" w:eastAsia="仿宋_GB2312"/>
          <w:color w:val="000000" w:themeColor="text1"/>
          <w:sz w:val="32"/>
          <w:szCs w:val="32"/>
        </w:rPr>
        <w:t>度</w:t>
      </w:r>
      <w:r>
        <w:rPr>
          <w:rFonts w:ascii="仿宋_GB2312" w:hAnsi="仿宋" w:eastAsia="仿宋_GB2312"/>
          <w:color w:val="000000" w:themeColor="text1"/>
          <w:sz w:val="32"/>
          <w:szCs w:val="32"/>
        </w:rPr>
        <w:t>收入</w:t>
      </w:r>
      <w:r>
        <w:rPr>
          <w:rFonts w:hint="eastAsia" w:ascii="仿宋_GB2312" w:hAnsi="仿宋" w:eastAsia="仿宋_GB2312"/>
          <w:color w:val="000000" w:themeColor="text1"/>
          <w:sz w:val="32"/>
          <w:szCs w:val="32"/>
        </w:rPr>
        <w:t>合计260.75</w:t>
      </w:r>
      <w:r>
        <w:rPr>
          <w:rFonts w:ascii="仿宋_GB2312" w:hAnsi="仿宋" w:eastAsia="仿宋_GB2312"/>
          <w:color w:val="000000" w:themeColor="text1"/>
          <w:sz w:val="32"/>
          <w:szCs w:val="32"/>
        </w:rPr>
        <w:t>万元，其中</w:t>
      </w:r>
      <w:r>
        <w:rPr>
          <w:rFonts w:hint="eastAsia" w:ascii="仿宋_GB2312" w:hAnsi="仿宋" w:eastAsia="仿宋_GB2312"/>
          <w:color w:val="000000" w:themeColor="text1"/>
          <w:sz w:val="32"/>
          <w:szCs w:val="32"/>
        </w:rPr>
        <w:t>财政拨款收入260.75</w:t>
      </w:r>
      <w:r>
        <w:rPr>
          <w:rFonts w:ascii="仿宋_GB2312" w:hAnsi="仿宋" w:eastAsia="仿宋_GB2312"/>
          <w:color w:val="000000" w:themeColor="text1"/>
          <w:sz w:val="32"/>
          <w:szCs w:val="32"/>
        </w:rPr>
        <w:t>万元</w:t>
      </w:r>
      <w:r>
        <w:rPr>
          <w:rFonts w:hint="eastAsia" w:ascii="仿宋_GB2312" w:hAnsi="仿宋" w:eastAsia="仿宋_GB2312"/>
          <w:color w:val="000000" w:themeColor="text1"/>
          <w:sz w:val="32"/>
          <w:szCs w:val="32"/>
        </w:rPr>
        <w:t>，占比100%；事业收入0万元，占比0%；其他收入0万元，占比0%。</w:t>
      </w:r>
    </w:p>
    <w:p>
      <w:pPr>
        <w:snapToGrid w:val="0"/>
        <w:spacing w:line="560" w:lineRule="exact"/>
        <w:ind w:firstLine="643" w:firstLineChars="200"/>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（三）支出决算情况说明</w:t>
      </w:r>
    </w:p>
    <w:p>
      <w:pPr>
        <w:widowControl/>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中共霸州市委员会统战部部门</w:t>
      </w:r>
      <w:r>
        <w:rPr>
          <w:rFonts w:ascii="仿宋_GB2312" w:hAnsi="仿宋" w:eastAsia="仿宋_GB2312"/>
          <w:color w:val="000000" w:themeColor="text1"/>
          <w:sz w:val="32"/>
          <w:szCs w:val="32"/>
        </w:rPr>
        <w:t>201</w:t>
      </w:r>
      <w:r>
        <w:rPr>
          <w:rFonts w:hint="eastAsia" w:ascii="仿宋_GB2312" w:hAnsi="仿宋" w:eastAsia="仿宋_GB2312"/>
          <w:color w:val="000000" w:themeColor="text1"/>
          <w:sz w:val="32"/>
          <w:szCs w:val="32"/>
        </w:rPr>
        <w:t>7</w:t>
      </w:r>
      <w:r>
        <w:rPr>
          <w:rFonts w:ascii="仿宋_GB2312" w:hAnsi="仿宋" w:eastAsia="仿宋_GB2312"/>
          <w:color w:val="000000" w:themeColor="text1"/>
          <w:sz w:val="32"/>
          <w:szCs w:val="32"/>
        </w:rPr>
        <w:t>年部门</w:t>
      </w:r>
      <w:r>
        <w:rPr>
          <w:rFonts w:hint="eastAsia" w:ascii="仿宋_GB2312" w:hAnsi="仿宋" w:eastAsia="仿宋_GB2312"/>
          <w:color w:val="000000" w:themeColor="text1"/>
          <w:sz w:val="32"/>
          <w:szCs w:val="32"/>
        </w:rPr>
        <w:t>决</w:t>
      </w:r>
      <w:r>
        <w:rPr>
          <w:rFonts w:ascii="仿宋_GB2312" w:hAnsi="仿宋" w:eastAsia="仿宋_GB2312"/>
          <w:color w:val="000000" w:themeColor="text1"/>
          <w:sz w:val="32"/>
          <w:szCs w:val="32"/>
        </w:rPr>
        <w:t>算支出为</w:t>
      </w:r>
      <w:r>
        <w:rPr>
          <w:rFonts w:hint="eastAsia" w:ascii="仿宋_GB2312" w:hAnsi="仿宋" w:eastAsia="仿宋_GB2312"/>
          <w:color w:val="000000" w:themeColor="text1"/>
          <w:sz w:val="32"/>
          <w:szCs w:val="32"/>
        </w:rPr>
        <w:t>267.51</w:t>
      </w:r>
      <w:r>
        <w:rPr>
          <w:rFonts w:ascii="仿宋_GB2312" w:hAnsi="仿宋" w:eastAsia="仿宋_GB2312"/>
          <w:color w:val="000000" w:themeColor="text1"/>
          <w:sz w:val="32"/>
          <w:szCs w:val="32"/>
        </w:rPr>
        <w:t>万元，其中：基本支出</w:t>
      </w:r>
      <w:r>
        <w:rPr>
          <w:rFonts w:hint="eastAsia" w:ascii="仿宋_GB2312" w:hAnsi="仿宋" w:eastAsia="仿宋_GB2312"/>
          <w:color w:val="000000" w:themeColor="text1"/>
          <w:sz w:val="32"/>
          <w:szCs w:val="32"/>
        </w:rPr>
        <w:t>197.79</w:t>
      </w:r>
      <w:r>
        <w:rPr>
          <w:rFonts w:ascii="仿宋_GB2312" w:hAnsi="仿宋" w:eastAsia="仿宋_GB2312"/>
          <w:color w:val="000000" w:themeColor="text1"/>
          <w:sz w:val="32"/>
          <w:szCs w:val="32"/>
        </w:rPr>
        <w:t>万元，</w:t>
      </w:r>
      <w:r>
        <w:rPr>
          <w:rFonts w:hint="eastAsia" w:ascii="仿宋_GB2312" w:hAnsi="仿宋" w:eastAsia="仿宋_GB2312"/>
          <w:color w:val="000000" w:themeColor="text1"/>
          <w:sz w:val="32"/>
          <w:szCs w:val="32"/>
        </w:rPr>
        <w:t>占比74%，</w:t>
      </w:r>
      <w:r>
        <w:rPr>
          <w:rFonts w:ascii="仿宋_GB2312" w:hAnsi="仿宋" w:eastAsia="仿宋_GB2312"/>
          <w:color w:val="000000" w:themeColor="text1"/>
          <w:sz w:val="32"/>
          <w:szCs w:val="32"/>
        </w:rPr>
        <w:t>包含人员经费支出</w:t>
      </w:r>
      <w:r>
        <w:rPr>
          <w:rFonts w:hint="eastAsia" w:ascii="仿宋_GB2312" w:hAnsi="仿宋" w:eastAsia="仿宋_GB2312"/>
          <w:color w:val="000000" w:themeColor="text1"/>
          <w:sz w:val="32"/>
          <w:szCs w:val="32"/>
        </w:rPr>
        <w:t>175.62</w:t>
      </w:r>
      <w:r>
        <w:rPr>
          <w:rFonts w:ascii="仿宋_GB2312" w:hAnsi="仿宋" w:eastAsia="仿宋_GB2312"/>
          <w:color w:val="000000" w:themeColor="text1"/>
          <w:sz w:val="32"/>
          <w:szCs w:val="32"/>
        </w:rPr>
        <w:t>万元和日常公用经费支出</w:t>
      </w:r>
      <w:r>
        <w:rPr>
          <w:rFonts w:hint="eastAsia" w:ascii="仿宋_GB2312" w:hAnsi="仿宋" w:eastAsia="仿宋_GB2312"/>
          <w:color w:val="000000" w:themeColor="text1"/>
          <w:sz w:val="32"/>
          <w:szCs w:val="32"/>
        </w:rPr>
        <w:t>22.17</w:t>
      </w:r>
      <w:r>
        <w:rPr>
          <w:rFonts w:ascii="仿宋_GB2312" w:hAnsi="仿宋" w:eastAsia="仿宋_GB2312"/>
          <w:color w:val="000000" w:themeColor="text1"/>
          <w:sz w:val="32"/>
          <w:szCs w:val="32"/>
        </w:rPr>
        <w:t>万元；项目支出</w:t>
      </w:r>
      <w:r>
        <w:rPr>
          <w:rFonts w:hint="eastAsia" w:ascii="仿宋_GB2312" w:hAnsi="仿宋" w:eastAsia="仿宋_GB2312"/>
          <w:color w:val="000000" w:themeColor="text1"/>
          <w:sz w:val="32"/>
          <w:szCs w:val="32"/>
        </w:rPr>
        <w:t>69.72</w:t>
      </w:r>
      <w:r>
        <w:rPr>
          <w:rFonts w:ascii="仿宋_GB2312" w:hAnsi="仿宋" w:eastAsia="仿宋_GB2312"/>
          <w:color w:val="000000" w:themeColor="text1"/>
          <w:sz w:val="32"/>
          <w:szCs w:val="32"/>
        </w:rPr>
        <w:t>万元</w:t>
      </w:r>
      <w:r>
        <w:rPr>
          <w:rFonts w:hint="eastAsia" w:ascii="仿宋_GB2312" w:hAnsi="仿宋" w:eastAsia="仿宋_GB2312"/>
          <w:color w:val="000000" w:themeColor="text1"/>
          <w:sz w:val="32"/>
          <w:szCs w:val="32"/>
        </w:rPr>
        <w:t>，占比26%</w:t>
      </w:r>
      <w:r>
        <w:rPr>
          <w:rFonts w:ascii="仿宋_GB2312" w:hAnsi="仿宋" w:eastAsia="仿宋_GB2312"/>
          <w:color w:val="000000" w:themeColor="text1"/>
          <w:sz w:val="32"/>
          <w:szCs w:val="32"/>
        </w:rPr>
        <w:t>。</w:t>
      </w:r>
    </w:p>
    <w:p>
      <w:pPr>
        <w:snapToGrid w:val="0"/>
        <w:spacing w:line="560" w:lineRule="exact"/>
        <w:ind w:firstLine="643" w:firstLineChars="200"/>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（四）财政拨款收入支出决算总体情况说明</w:t>
      </w:r>
    </w:p>
    <w:p>
      <w:pPr>
        <w:widowControl/>
        <w:spacing w:line="56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rPr>
        <w:t>1、财政拨款收支与2016年度决算对比情况</w:t>
      </w:r>
    </w:p>
    <w:p>
      <w:pPr>
        <w:snapToGrid w:val="0"/>
        <w:spacing w:line="560" w:lineRule="exact"/>
        <w:ind w:firstLine="640" w:firstLineChars="200"/>
        <w:rPr>
          <w:rFonts w:ascii="仿宋" w:hAnsi="仿宋" w:eastAsia="仿宋" w:cs="仿宋"/>
          <w:color w:val="000000" w:themeColor="text1"/>
          <w:sz w:val="32"/>
        </w:rPr>
      </w:pPr>
      <w:r>
        <w:rPr>
          <w:rFonts w:hint="eastAsia" w:ascii="仿宋_GB2312" w:hAnsi="仿宋" w:eastAsia="仿宋_GB2312"/>
          <w:color w:val="000000" w:themeColor="text1"/>
          <w:sz w:val="32"/>
          <w:szCs w:val="32"/>
        </w:rPr>
        <w:t>中共霸州市委员会统战部</w:t>
      </w:r>
      <w:r>
        <w:rPr>
          <w:rFonts w:hint="eastAsia" w:ascii="仿宋" w:hAnsi="仿宋" w:eastAsia="仿宋" w:cs="仿宋"/>
          <w:color w:val="000000" w:themeColor="text1"/>
          <w:sz w:val="32"/>
          <w:szCs w:val="32"/>
        </w:rPr>
        <w:t>部门2017年财政拨款收入决算总计260.75万元，较2016年</w:t>
      </w:r>
      <w:r>
        <w:rPr>
          <w:rFonts w:hint="eastAsia" w:ascii="仿宋" w:hAnsi="仿宋" w:eastAsia="仿宋" w:cs="仿宋"/>
          <w:color w:val="000000" w:themeColor="text1"/>
          <w:sz w:val="32"/>
        </w:rPr>
        <w:t>度决算</w:t>
      </w:r>
      <w:r>
        <w:rPr>
          <w:rFonts w:hint="eastAsia" w:ascii="仿宋" w:hAnsi="仿宋" w:eastAsia="仿宋" w:cs="仿宋"/>
          <w:color w:val="000000" w:themeColor="text1"/>
          <w:sz w:val="32"/>
          <w:szCs w:val="32"/>
        </w:rPr>
        <w:t>增加125.43万元，</w:t>
      </w:r>
      <w:r>
        <w:rPr>
          <w:rFonts w:hint="eastAsia" w:ascii="仿宋" w:hAnsi="仿宋" w:eastAsia="仿宋" w:cs="仿宋"/>
          <w:color w:val="000000" w:themeColor="text1"/>
          <w:sz w:val="32"/>
        </w:rPr>
        <w:t>增长9</w:t>
      </w:r>
      <w:r>
        <w:rPr>
          <w:rFonts w:hint="eastAsia" w:ascii="仿宋" w:hAnsi="仿宋" w:eastAsia="仿宋" w:cs="仿宋"/>
          <w:color w:val="000000" w:themeColor="text1"/>
          <w:sz w:val="32"/>
          <w:lang w:val="en-US" w:eastAsia="zh-CN"/>
        </w:rPr>
        <w:t>2.69</w:t>
      </w:r>
      <w:r>
        <w:rPr>
          <w:rFonts w:hint="eastAsia" w:ascii="仿宋" w:hAnsi="仿宋" w:eastAsia="仿宋" w:cs="仿宋"/>
          <w:color w:val="000000" w:themeColor="text1"/>
          <w:sz w:val="32"/>
        </w:rPr>
        <w:t>%，主要原因是</w:t>
      </w:r>
      <w:r>
        <w:rPr>
          <w:rFonts w:hint="eastAsia" w:ascii="仿宋" w:hAnsi="仿宋" w:eastAsia="仿宋" w:cs="仿宋"/>
          <w:color w:val="000000" w:themeColor="text1"/>
          <w:sz w:val="32"/>
          <w:szCs w:val="32"/>
        </w:rPr>
        <w:t>大统战整合，民宗局预算并入统战部</w:t>
      </w:r>
      <w:r>
        <w:rPr>
          <w:rFonts w:hint="eastAsia" w:ascii="仿宋" w:hAnsi="仿宋" w:eastAsia="仿宋" w:cs="仿宋"/>
          <w:color w:val="000000" w:themeColor="text1"/>
          <w:sz w:val="32"/>
        </w:rPr>
        <w:t>。</w:t>
      </w:r>
      <w:r>
        <w:rPr>
          <w:rFonts w:hint="eastAsia" w:ascii="仿宋" w:hAnsi="仿宋" w:eastAsia="仿宋" w:cs="仿宋"/>
          <w:color w:val="000000" w:themeColor="text1"/>
          <w:sz w:val="32"/>
          <w:szCs w:val="32"/>
        </w:rPr>
        <w:t>其中，一般公共预算拨款</w:t>
      </w:r>
      <w:r>
        <w:rPr>
          <w:rFonts w:hint="eastAsia" w:ascii="仿宋" w:hAnsi="仿宋" w:eastAsia="仿宋" w:cs="仿宋"/>
          <w:color w:val="000000" w:themeColor="text1"/>
          <w:sz w:val="32"/>
          <w:szCs w:val="32"/>
          <w:highlight w:val="none"/>
          <w:lang w:eastAsia="zh-CN"/>
        </w:rPr>
        <w:t>增加</w:t>
      </w:r>
      <w:r>
        <w:rPr>
          <w:rFonts w:hint="eastAsia" w:ascii="仿宋" w:hAnsi="仿宋" w:eastAsia="仿宋" w:cs="仿宋"/>
          <w:color w:val="000000" w:themeColor="text1"/>
          <w:sz w:val="32"/>
          <w:szCs w:val="32"/>
        </w:rPr>
        <w:t>125.43万元，政府性基金预算财政拨款</w:t>
      </w:r>
      <w:r>
        <w:rPr>
          <w:rFonts w:hint="eastAsia" w:ascii="仿宋" w:hAnsi="仿宋" w:eastAsia="仿宋" w:cs="仿宋"/>
          <w:color w:val="000000" w:themeColor="text1"/>
          <w:sz w:val="32"/>
          <w:szCs w:val="32"/>
          <w:highlight w:val="none"/>
          <w:lang w:eastAsia="zh-CN"/>
        </w:rPr>
        <w:t>增加</w:t>
      </w:r>
      <w:r>
        <w:rPr>
          <w:rFonts w:hint="eastAsia" w:ascii="仿宋" w:hAnsi="仿宋" w:eastAsia="仿宋" w:cs="仿宋"/>
          <w:color w:val="000000" w:themeColor="text1"/>
          <w:sz w:val="32"/>
          <w:szCs w:val="32"/>
        </w:rPr>
        <w:t>0万元。2017年财政拨款支出决算总计267.51万元，较2016年</w:t>
      </w:r>
      <w:r>
        <w:rPr>
          <w:rFonts w:hint="eastAsia" w:ascii="仿宋" w:hAnsi="仿宋" w:eastAsia="仿宋" w:cs="仿宋"/>
          <w:color w:val="000000" w:themeColor="text1"/>
          <w:sz w:val="32"/>
        </w:rPr>
        <w:t>度决算</w:t>
      </w:r>
      <w:r>
        <w:rPr>
          <w:rFonts w:hint="eastAsia" w:ascii="仿宋" w:hAnsi="仿宋" w:eastAsia="仿宋" w:cs="仿宋"/>
          <w:color w:val="000000" w:themeColor="text1"/>
          <w:sz w:val="32"/>
          <w:szCs w:val="32"/>
        </w:rPr>
        <w:t>增加139.52万元，</w:t>
      </w:r>
      <w:r>
        <w:rPr>
          <w:rFonts w:hint="eastAsia" w:ascii="仿宋" w:hAnsi="仿宋" w:eastAsia="仿宋" w:cs="仿宋"/>
          <w:color w:val="000000" w:themeColor="text1"/>
          <w:sz w:val="32"/>
        </w:rPr>
        <w:t>增长109</w:t>
      </w:r>
      <w:r>
        <w:rPr>
          <w:rFonts w:hint="eastAsia" w:ascii="仿宋" w:hAnsi="仿宋" w:eastAsia="仿宋" w:cs="仿宋"/>
          <w:color w:val="000000" w:themeColor="text1"/>
          <w:sz w:val="32"/>
          <w:lang w:val="en-US" w:eastAsia="zh-CN"/>
        </w:rPr>
        <w:t>.01</w:t>
      </w:r>
      <w:r>
        <w:rPr>
          <w:rFonts w:hint="eastAsia" w:ascii="仿宋" w:hAnsi="仿宋" w:eastAsia="仿宋" w:cs="仿宋"/>
          <w:color w:val="000000" w:themeColor="text1"/>
          <w:sz w:val="32"/>
        </w:rPr>
        <w:t>%，主要原因是</w:t>
      </w:r>
      <w:r>
        <w:rPr>
          <w:rFonts w:hint="eastAsia" w:ascii="仿宋_GB2312" w:hAnsi="仿宋" w:eastAsia="仿宋_GB2312"/>
          <w:color w:val="000000" w:themeColor="text1"/>
          <w:sz w:val="32"/>
          <w:szCs w:val="32"/>
        </w:rPr>
        <w:t>本年度有</w:t>
      </w:r>
      <w:r>
        <w:rPr>
          <w:rFonts w:hint="eastAsia" w:ascii="仿宋" w:hAnsi="仿宋" w:eastAsia="仿宋" w:cs="仿宋"/>
          <w:color w:val="000000" w:themeColor="text1"/>
          <w:sz w:val="32"/>
          <w:szCs w:val="32"/>
        </w:rPr>
        <w:t>大统战整合，民宗局预算并入统战部</w:t>
      </w:r>
      <w:r>
        <w:rPr>
          <w:rFonts w:hint="eastAsia" w:ascii="仿宋" w:hAnsi="仿宋" w:eastAsia="仿宋" w:cs="仿宋"/>
          <w:color w:val="000000" w:themeColor="text1"/>
          <w:sz w:val="32"/>
        </w:rPr>
        <w:t>。</w:t>
      </w:r>
      <w:r>
        <w:rPr>
          <w:rFonts w:hint="eastAsia" w:ascii="仿宋" w:hAnsi="仿宋" w:eastAsia="仿宋" w:cs="仿宋"/>
          <w:color w:val="000000" w:themeColor="text1"/>
          <w:sz w:val="32"/>
          <w:szCs w:val="32"/>
        </w:rPr>
        <w:t>其中基本支出增加81.73万元，项目支出增加57.79万元</w:t>
      </w:r>
      <w:r>
        <w:rPr>
          <w:rFonts w:hint="eastAsia" w:ascii="仿宋" w:hAnsi="仿宋" w:eastAsia="仿宋" w:cs="仿宋"/>
          <w:color w:val="000000" w:themeColor="text1"/>
          <w:sz w:val="32"/>
        </w:rPr>
        <w:t>。</w:t>
      </w:r>
    </w:p>
    <w:p>
      <w:pPr>
        <w:widowControl/>
        <w:spacing w:line="560" w:lineRule="exact"/>
        <w:ind w:firstLine="643" w:firstLineChars="200"/>
        <w:rPr>
          <w:rFonts w:ascii="仿宋" w:hAnsi="仿宋" w:eastAsia="仿宋" w:cs="仿宋"/>
          <w:b/>
          <w:bCs/>
          <w:color w:val="000000" w:themeColor="text1"/>
          <w:sz w:val="32"/>
          <w:szCs w:val="22"/>
        </w:rPr>
      </w:pPr>
      <w:r>
        <w:rPr>
          <w:rFonts w:hint="eastAsia" w:ascii="仿宋" w:hAnsi="仿宋" w:eastAsia="仿宋" w:cs="仿宋"/>
          <w:b/>
          <w:bCs/>
          <w:color w:val="000000" w:themeColor="text1"/>
          <w:sz w:val="32"/>
          <w:szCs w:val="22"/>
        </w:rPr>
        <w:t>2、财政拨款收支与年初预算数对比情况</w:t>
      </w:r>
    </w:p>
    <w:p>
      <w:pPr>
        <w:snapToGrid w:val="0"/>
        <w:spacing w:line="560" w:lineRule="exact"/>
        <w:ind w:firstLine="640" w:firstLineChars="200"/>
        <w:rPr>
          <w:rFonts w:ascii="仿宋" w:hAnsi="仿宋" w:eastAsia="仿宋" w:cs="仿宋"/>
          <w:color w:val="000000" w:themeColor="text1"/>
          <w:sz w:val="32"/>
        </w:rPr>
      </w:pPr>
      <w:r>
        <w:rPr>
          <w:rFonts w:hint="eastAsia" w:ascii="仿宋_GB2312" w:hAnsi="仿宋" w:eastAsia="仿宋_GB2312"/>
          <w:color w:val="000000" w:themeColor="text1"/>
          <w:sz w:val="32"/>
          <w:szCs w:val="32"/>
        </w:rPr>
        <w:t>中共霸州市委员会统战部</w:t>
      </w:r>
      <w:r>
        <w:rPr>
          <w:rFonts w:hint="eastAsia" w:ascii="仿宋" w:hAnsi="仿宋" w:eastAsia="仿宋" w:cs="仿宋"/>
          <w:color w:val="000000" w:themeColor="text1"/>
          <w:sz w:val="32"/>
          <w:szCs w:val="32"/>
        </w:rPr>
        <w:t>部门2017年财政拨款收入决算总计260.75万元，较年初预算增加50.56万元，</w:t>
      </w:r>
      <w:r>
        <w:rPr>
          <w:rFonts w:hint="eastAsia" w:ascii="仿宋" w:hAnsi="仿宋" w:eastAsia="仿宋" w:cs="仿宋"/>
          <w:color w:val="000000" w:themeColor="text1"/>
          <w:sz w:val="32"/>
        </w:rPr>
        <w:t>增长</w:t>
      </w:r>
      <w:r>
        <w:rPr>
          <w:rFonts w:hint="eastAsia" w:ascii="仿宋" w:hAnsi="仿宋" w:eastAsia="仿宋" w:cs="仿宋"/>
          <w:color w:val="000000" w:themeColor="text1"/>
          <w:sz w:val="32"/>
          <w:szCs w:val="32"/>
        </w:rPr>
        <w:t>24</w:t>
      </w:r>
      <w:r>
        <w:rPr>
          <w:rFonts w:hint="eastAsia" w:ascii="仿宋" w:hAnsi="仿宋" w:eastAsia="仿宋" w:cs="仿宋"/>
          <w:color w:val="000000" w:themeColor="text1"/>
          <w:sz w:val="32"/>
          <w:szCs w:val="32"/>
          <w:lang w:val="en-US" w:eastAsia="zh-CN"/>
        </w:rPr>
        <w:t>.05</w:t>
      </w:r>
      <w:r>
        <w:rPr>
          <w:rFonts w:hint="eastAsia" w:ascii="仿宋" w:hAnsi="仿宋" w:eastAsia="仿宋" w:cs="仿宋"/>
          <w:color w:val="000000" w:themeColor="text1"/>
          <w:sz w:val="32"/>
        </w:rPr>
        <w:t>%，主要原因是</w:t>
      </w:r>
      <w:r>
        <w:rPr>
          <w:rFonts w:hint="eastAsia" w:ascii="仿宋" w:hAnsi="仿宋" w:eastAsia="仿宋" w:cs="仿宋"/>
          <w:color w:val="000000" w:themeColor="text1"/>
          <w:sz w:val="32"/>
          <w:szCs w:val="32"/>
        </w:rPr>
        <w:t>大统战整合，民宗局预算并入统战部</w:t>
      </w:r>
      <w:r>
        <w:rPr>
          <w:rFonts w:hint="eastAsia" w:ascii="仿宋" w:hAnsi="仿宋" w:eastAsia="仿宋" w:cs="仿宋"/>
          <w:color w:val="000000" w:themeColor="text1"/>
          <w:sz w:val="32"/>
        </w:rPr>
        <w:t>。</w:t>
      </w:r>
      <w:r>
        <w:rPr>
          <w:rFonts w:hint="eastAsia" w:ascii="仿宋" w:hAnsi="仿宋" w:eastAsia="仿宋" w:cs="仿宋"/>
          <w:color w:val="000000" w:themeColor="text1"/>
          <w:sz w:val="32"/>
          <w:szCs w:val="32"/>
        </w:rPr>
        <w:t>其中，一般公共预算拨款增加50.56万元，政府性基金预算财政拨款增加0万元。2017年财政拨款支出决算总计267.51万元，较年初预算增加57.32万元，</w:t>
      </w:r>
      <w:r>
        <w:rPr>
          <w:rFonts w:hint="eastAsia" w:ascii="仿宋" w:hAnsi="仿宋" w:eastAsia="仿宋" w:cs="仿宋"/>
          <w:color w:val="000000" w:themeColor="text1"/>
          <w:sz w:val="32"/>
        </w:rPr>
        <w:t>增长27</w:t>
      </w:r>
      <w:r>
        <w:rPr>
          <w:rFonts w:hint="eastAsia" w:ascii="仿宋" w:hAnsi="仿宋" w:eastAsia="仿宋" w:cs="仿宋"/>
          <w:color w:val="000000" w:themeColor="text1"/>
          <w:sz w:val="32"/>
          <w:lang w:val="en-US" w:eastAsia="zh-CN"/>
        </w:rPr>
        <w:t>.27</w:t>
      </w:r>
      <w:r>
        <w:rPr>
          <w:rFonts w:hint="eastAsia" w:ascii="仿宋" w:hAnsi="仿宋" w:eastAsia="仿宋" w:cs="仿宋"/>
          <w:color w:val="000000" w:themeColor="text1"/>
          <w:sz w:val="32"/>
        </w:rPr>
        <w:t>%，主要原因是</w:t>
      </w:r>
      <w:r>
        <w:rPr>
          <w:rFonts w:hint="eastAsia" w:ascii="仿宋" w:hAnsi="仿宋" w:eastAsia="仿宋" w:cs="仿宋"/>
          <w:color w:val="000000" w:themeColor="text1"/>
          <w:sz w:val="32"/>
          <w:szCs w:val="32"/>
        </w:rPr>
        <w:t>大统战整合，民宗局预算并入统战部</w:t>
      </w:r>
      <w:r>
        <w:rPr>
          <w:rFonts w:hint="eastAsia" w:ascii="仿宋" w:hAnsi="仿宋" w:eastAsia="仿宋" w:cs="仿宋"/>
          <w:color w:val="000000" w:themeColor="text1"/>
          <w:sz w:val="32"/>
        </w:rPr>
        <w:t>。</w:t>
      </w:r>
      <w:r>
        <w:rPr>
          <w:rFonts w:hint="eastAsia" w:ascii="仿宋" w:hAnsi="仿宋" w:eastAsia="仿宋" w:cs="仿宋"/>
          <w:color w:val="000000" w:themeColor="text1"/>
          <w:sz w:val="32"/>
          <w:szCs w:val="32"/>
        </w:rPr>
        <w:t>其中基本支出增加40.14万元，项目支出增加17.18万元</w:t>
      </w:r>
      <w:r>
        <w:rPr>
          <w:rFonts w:hint="eastAsia" w:ascii="仿宋" w:hAnsi="仿宋" w:eastAsia="仿宋" w:cs="仿宋"/>
          <w:color w:val="000000" w:themeColor="text1"/>
          <w:sz w:val="32"/>
        </w:rPr>
        <w:t>。</w:t>
      </w:r>
    </w:p>
    <w:p>
      <w:pPr>
        <w:snapToGrid w:val="0"/>
        <w:spacing w:line="560" w:lineRule="exact"/>
        <w:ind w:firstLine="643" w:firstLineChars="200"/>
        <w:rPr>
          <w:rFonts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（五）“三公”经费支出决算情况说明</w:t>
      </w:r>
    </w:p>
    <w:p>
      <w:pPr>
        <w:widowControl/>
        <w:spacing w:line="5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2017年度部门“三公”经费支出4.61万元，比预算</w:t>
      </w:r>
      <w:r>
        <w:rPr>
          <w:rFonts w:ascii="仿宋_GB2312" w:hAnsi="仿宋" w:eastAsia="仿宋_GB2312"/>
          <w:color w:val="000000" w:themeColor="text1"/>
          <w:sz w:val="32"/>
          <w:szCs w:val="32"/>
        </w:rPr>
        <w:t>增加</w:t>
      </w:r>
      <w:r>
        <w:rPr>
          <w:rFonts w:hint="eastAsia" w:ascii="仿宋_GB2312" w:hAnsi="仿宋" w:eastAsia="仿宋_GB2312"/>
          <w:color w:val="000000" w:themeColor="text1"/>
          <w:sz w:val="32"/>
          <w:szCs w:val="32"/>
        </w:rPr>
        <w:t>1.55万元，比2016年度决算减少0.17万元。原因是本年度公车使用频率减少。其中：因公出国（境）费0万元（本单位2017年度组织出国（境）团组0个，因公出国（境）人次数0人），与预算持平，与2016年度决算持平，原因是本年度无因公出国（境）工作；公务用车购置及运行维护费4.41万元（公务用车购置数量0辆，购置金额0万元，公车运行维护费4.41万元，年末公务用车保有量1辆），比预算</w:t>
      </w:r>
      <w:r>
        <w:rPr>
          <w:rFonts w:ascii="仿宋_GB2312" w:hAnsi="仿宋" w:eastAsia="仿宋_GB2312"/>
          <w:color w:val="000000" w:themeColor="text1"/>
          <w:sz w:val="32"/>
          <w:szCs w:val="32"/>
        </w:rPr>
        <w:t>增加</w:t>
      </w:r>
      <w:r>
        <w:rPr>
          <w:rFonts w:hint="eastAsia" w:ascii="仿宋_GB2312" w:hAnsi="仿宋" w:eastAsia="仿宋_GB2312"/>
          <w:color w:val="000000" w:themeColor="text1"/>
          <w:sz w:val="32"/>
          <w:szCs w:val="32"/>
        </w:rPr>
        <w:t>1.51万元，比2016年度决算减少0.37万元，原因是公车使用频率减少；公务接待费0.2万元（2017年度国内公务接待1批次，</w:t>
      </w:r>
      <w:r>
        <w:rPr>
          <w:rFonts w:hint="eastAsia" w:ascii="仿宋_GB2312" w:hAnsi="仿宋" w:eastAsia="仿宋_GB2312"/>
          <w:color w:val="000000" w:themeColor="text1"/>
          <w:sz w:val="32"/>
          <w:szCs w:val="32"/>
          <w:highlight w:val="none"/>
        </w:rPr>
        <w:t>合计接待</w:t>
      </w:r>
      <w:r>
        <w:rPr>
          <w:rFonts w:hint="eastAsia" w:ascii="仿宋_GB2312" w:hAnsi="仿宋" w:eastAsia="仿宋_GB2312"/>
          <w:color w:val="000000" w:themeColor="text1"/>
          <w:sz w:val="32"/>
          <w:szCs w:val="32"/>
          <w:highlight w:val="none"/>
          <w:lang w:val="en-US" w:eastAsia="zh-CN"/>
        </w:rPr>
        <w:t>3</w:t>
      </w:r>
      <w:r>
        <w:rPr>
          <w:rFonts w:hint="eastAsia" w:ascii="仿宋_GB2312" w:hAnsi="仿宋" w:eastAsia="仿宋_GB2312"/>
          <w:color w:val="000000" w:themeColor="text1"/>
          <w:sz w:val="32"/>
          <w:szCs w:val="32"/>
          <w:highlight w:val="none"/>
        </w:rPr>
        <w:t>人次）</w:t>
      </w:r>
      <w:r>
        <w:rPr>
          <w:rFonts w:hint="eastAsia" w:ascii="仿宋_GB2312" w:hAnsi="仿宋" w:eastAsia="仿宋_GB2312"/>
          <w:color w:val="000000" w:themeColor="text1"/>
          <w:sz w:val="32"/>
          <w:szCs w:val="32"/>
        </w:rPr>
        <w:t>，比预算</w:t>
      </w:r>
      <w:r>
        <w:rPr>
          <w:rFonts w:ascii="仿宋_GB2312" w:hAnsi="仿宋" w:eastAsia="仿宋_GB2312"/>
          <w:color w:val="000000" w:themeColor="text1"/>
          <w:sz w:val="32"/>
          <w:szCs w:val="32"/>
        </w:rPr>
        <w:t>增加</w:t>
      </w:r>
      <w:r>
        <w:rPr>
          <w:rFonts w:hint="eastAsia" w:ascii="仿宋_GB2312" w:hAnsi="仿宋" w:eastAsia="仿宋_GB2312"/>
          <w:color w:val="000000" w:themeColor="text1"/>
          <w:sz w:val="32"/>
          <w:szCs w:val="32"/>
        </w:rPr>
        <w:t>0.04万元，比2016年度决算</w:t>
      </w:r>
      <w:r>
        <w:rPr>
          <w:rFonts w:ascii="仿宋_GB2312" w:hAnsi="仿宋" w:eastAsia="仿宋_GB2312"/>
          <w:color w:val="000000" w:themeColor="text1"/>
          <w:sz w:val="32"/>
          <w:szCs w:val="32"/>
        </w:rPr>
        <w:t>增加</w:t>
      </w:r>
      <w:r>
        <w:rPr>
          <w:rFonts w:hint="eastAsia" w:ascii="仿宋_GB2312" w:hAnsi="仿宋" w:eastAsia="仿宋_GB2312"/>
          <w:color w:val="000000" w:themeColor="text1"/>
          <w:sz w:val="32"/>
          <w:szCs w:val="32"/>
        </w:rPr>
        <w:t>0.2万元，原因是本年度台办考察团来访，用于接待访客。</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（六）预算绩效管理工作开展情况说明</w:t>
      </w:r>
    </w:p>
    <w:p>
      <w:pPr>
        <w:autoSpaceDE w:val="0"/>
        <w:autoSpaceDN w:val="0"/>
        <w:snapToGrid w:val="0"/>
        <w:spacing w:line="560" w:lineRule="exact"/>
        <w:ind w:firstLine="643" w:firstLineChars="200"/>
        <w:rPr>
          <w:rFonts w:ascii="仿宋_GB2312" w:hAnsi="仿宋_GB2312" w:eastAsia="仿宋_GB2312" w:cs="仿宋_GB2312"/>
          <w:b/>
          <w:bCs/>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1、预算绩效管理工作开展情况</w:t>
      </w:r>
    </w:p>
    <w:p>
      <w:pPr>
        <w:autoSpaceDE w:val="0"/>
        <w:autoSpaceDN w:val="0"/>
        <w:snapToGrid w:val="0"/>
        <w:spacing w:line="560" w:lineRule="exact"/>
        <w:ind w:firstLine="640" w:firstLineChars="200"/>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rPr>
        <w:t>根据年初项目实际情况，实行跟踪考核，每半年公示项目完成进度及绩效完成情况</w:t>
      </w:r>
      <w:r>
        <w:rPr>
          <w:rFonts w:hint="eastAsia" w:ascii="仿宋_GB2312" w:hAnsi="仿宋" w:eastAsia="仿宋_GB2312"/>
          <w:color w:val="000000" w:themeColor="text1"/>
          <w:sz w:val="32"/>
          <w:szCs w:val="32"/>
          <w:lang w:eastAsia="zh-CN"/>
        </w:rPr>
        <w:t>。今年</w:t>
      </w:r>
      <w:r>
        <w:rPr>
          <w:rFonts w:hint="eastAsia" w:ascii="仿宋_GB2312" w:hAnsi="仿宋" w:eastAsia="仿宋_GB2312"/>
          <w:color w:val="000000" w:themeColor="text1"/>
          <w:sz w:val="32"/>
          <w:szCs w:val="32"/>
          <w:lang w:val="en-US" w:eastAsia="zh-CN"/>
        </w:rPr>
        <w:t>6月我市各乡镇（区、办）统战委员及宗教重点村街书记赴贵阳社会注意学院培训一次，9月组织乐全市五大宗教代表人士赴西安、延安、平凉等地培训交流，对宗教界人士进行乐红色政治历史教育等。</w:t>
      </w:r>
    </w:p>
    <w:p>
      <w:pPr>
        <w:autoSpaceDE w:val="0"/>
        <w:autoSpaceDN w:val="0"/>
        <w:snapToGrid w:val="0"/>
        <w:spacing w:line="560" w:lineRule="exact"/>
        <w:ind w:firstLine="643" w:firstLineChars="200"/>
        <w:rPr>
          <w:rFonts w:ascii="仿宋_GB2312" w:hAnsi="仿宋_GB2312" w:eastAsia="仿宋_GB2312" w:cs="仿宋_GB2312"/>
          <w:b/>
          <w:bCs/>
          <w:color w:val="000000" w:themeColor="text1"/>
          <w:kern w:val="0"/>
          <w:sz w:val="32"/>
          <w:szCs w:val="32"/>
          <w:shd w:val="clear" w:color="auto" w:fill="FFFFFF"/>
        </w:rPr>
      </w:pPr>
      <w:r>
        <w:rPr>
          <w:rFonts w:hint="eastAsia" w:ascii="仿宋_GB2312" w:hAnsi="仿宋_GB2312" w:eastAsia="仿宋_GB2312" w:cs="仿宋_GB2312"/>
          <w:b/>
          <w:bCs/>
          <w:color w:val="000000" w:themeColor="text1"/>
          <w:kern w:val="0"/>
          <w:sz w:val="32"/>
          <w:szCs w:val="32"/>
          <w:shd w:val="clear" w:color="auto" w:fill="FFFFFF"/>
        </w:rPr>
        <w:t>2、预算项目绩效评价开展情况</w:t>
      </w:r>
    </w:p>
    <w:p>
      <w:pPr>
        <w:widowControl/>
        <w:spacing w:line="560" w:lineRule="exact"/>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为了全面贯彻党的十九大精神和习总书记“找到最大公约数，画出最大同心圆”的统战工作总要求，落实好省、市委统战工作安排部署和我市七届四次全会精神，做好新时期统战工作，提升我市统战干部队伍素质，适应新形势下统战工作的需要，通过理论和现场教学，系统学习统战工作理论和统战业务知识，了解新形势下统战工作的形势、目标、任务，重点学习民族宗教领域的相关政策、理论和经验，开阔统战干部视野，强化统战工作意识，提升统战干部的理论水平和业务水平。</w:t>
      </w:r>
    </w:p>
    <w:p>
      <w:pPr>
        <w:widowControl/>
        <w:spacing w:line="560" w:lineRule="exact"/>
        <w:ind w:firstLine="640" w:firstLineChars="200"/>
        <w:rPr>
          <w:rFonts w:hint="eastAsia" w:ascii="仿宋_GB2312" w:hAnsi="仿宋" w:eastAsia="仿宋_GB2312"/>
          <w:color w:val="000000" w:themeColor="text1"/>
          <w:sz w:val="32"/>
          <w:szCs w:val="32"/>
          <w:lang w:val="en-US" w:eastAsia="zh-CN"/>
        </w:rPr>
      </w:pPr>
      <w:bookmarkStart w:id="0" w:name="_GoBack"/>
      <w:r>
        <w:rPr>
          <w:rFonts w:hint="eastAsia" w:ascii="仿宋_GB2312" w:hAnsi="仿宋" w:eastAsia="仿宋_GB2312"/>
          <w:color w:val="000000" w:themeColor="text1"/>
          <w:sz w:val="32"/>
          <w:szCs w:val="32"/>
        </w:rPr>
        <w:t>按照市财政预算绩效管理要求，对2017年</w:t>
      </w:r>
      <w:r>
        <w:rPr>
          <w:rFonts w:hint="eastAsia" w:ascii="仿宋_GB2312" w:hAnsi="仿宋" w:eastAsia="仿宋_GB2312"/>
          <w:color w:val="000000" w:themeColor="text1"/>
          <w:sz w:val="32"/>
          <w:szCs w:val="32"/>
          <w:lang w:eastAsia="zh-CN"/>
        </w:rPr>
        <w:t>我</w:t>
      </w:r>
      <w:r>
        <w:rPr>
          <w:rFonts w:hint="eastAsia" w:ascii="仿宋_GB2312" w:hAnsi="仿宋" w:eastAsia="仿宋_GB2312"/>
          <w:color w:val="000000" w:themeColor="text1"/>
          <w:sz w:val="32"/>
          <w:szCs w:val="32"/>
        </w:rPr>
        <w:t>部门</w:t>
      </w:r>
      <w:r>
        <w:rPr>
          <w:rFonts w:hint="eastAsia" w:ascii="仿宋_GB2312" w:hAnsi="仿宋" w:eastAsia="仿宋_GB2312"/>
          <w:color w:val="000000" w:themeColor="text1"/>
          <w:sz w:val="32"/>
          <w:szCs w:val="32"/>
          <w:lang w:eastAsia="zh-CN"/>
        </w:rPr>
        <w:t>绩效预算执行情况</w:t>
      </w:r>
      <w:r>
        <w:rPr>
          <w:rFonts w:hint="eastAsia" w:ascii="仿宋_GB2312" w:hAnsi="仿宋" w:eastAsia="仿宋_GB2312"/>
          <w:color w:val="000000" w:themeColor="text1"/>
          <w:sz w:val="32"/>
          <w:szCs w:val="32"/>
        </w:rPr>
        <w:t>全面开展了自评</w:t>
      </w:r>
      <w:r>
        <w:rPr>
          <w:rFonts w:hint="eastAsia" w:ascii="仿宋_GB2312" w:hAnsi="仿宋" w:eastAsia="仿宋_GB2312"/>
          <w:color w:val="000000" w:themeColor="text1"/>
          <w:sz w:val="32"/>
          <w:szCs w:val="32"/>
          <w:lang w:eastAsia="zh-CN"/>
        </w:rPr>
        <w:t>，我</w:t>
      </w:r>
      <w:r>
        <w:rPr>
          <w:rFonts w:hint="eastAsia" w:ascii="仿宋_GB2312" w:hAnsi="仿宋" w:eastAsia="仿宋_GB2312"/>
          <w:color w:val="000000" w:themeColor="text1"/>
          <w:sz w:val="32"/>
          <w:szCs w:val="32"/>
        </w:rPr>
        <w:t>部门对</w:t>
      </w:r>
      <w:r>
        <w:rPr>
          <w:rFonts w:hint="eastAsia" w:ascii="仿宋_GB2312" w:hAnsi="仿宋" w:eastAsia="仿宋_GB2312"/>
          <w:color w:val="000000" w:themeColor="text1"/>
          <w:sz w:val="32"/>
          <w:szCs w:val="32"/>
          <w:lang w:eastAsia="zh-CN"/>
        </w:rPr>
        <w:t>预算绩效</w:t>
      </w:r>
      <w:r>
        <w:rPr>
          <w:rFonts w:hint="eastAsia" w:ascii="仿宋_GB2312" w:hAnsi="仿宋" w:eastAsia="仿宋_GB2312"/>
          <w:color w:val="000000" w:themeColor="text1"/>
          <w:sz w:val="32"/>
          <w:szCs w:val="32"/>
        </w:rPr>
        <w:t>评价结果进行认真分析，对管理中存在的问题，提出改进措施。被评价项目总体绩效目标明确，决策依据充分，资金分配科学合理，项目管理较规范，项目完成良好，基本达到了预期效果</w:t>
      </w:r>
      <w:r>
        <w:rPr>
          <w:rFonts w:hint="eastAsia" w:ascii="仿宋_GB2312" w:hAnsi="仿宋" w:eastAsia="仿宋_GB2312"/>
          <w:color w:val="000000" w:themeColor="text1"/>
          <w:sz w:val="32"/>
          <w:szCs w:val="32"/>
          <w:lang w:eastAsia="zh-CN"/>
        </w:rPr>
        <w:t>，对绩效预算执行情况执行的较好。预算绩效管理工作有效的</w:t>
      </w:r>
      <w:r>
        <w:rPr>
          <w:rFonts w:hint="eastAsia" w:ascii="仿宋_GB2312" w:hAnsi="仿宋" w:eastAsia="仿宋_GB2312"/>
          <w:color w:val="000000" w:themeColor="text1"/>
          <w:sz w:val="32"/>
          <w:szCs w:val="32"/>
        </w:rPr>
        <w:t>减少了</w:t>
      </w:r>
      <w:r>
        <w:rPr>
          <w:rFonts w:hint="eastAsia" w:ascii="仿宋_GB2312" w:hAnsi="仿宋" w:eastAsia="仿宋_GB2312"/>
          <w:color w:val="000000" w:themeColor="text1"/>
          <w:sz w:val="32"/>
          <w:szCs w:val="32"/>
          <w:lang w:eastAsia="zh-CN"/>
        </w:rPr>
        <w:t>我部门</w:t>
      </w:r>
      <w:r>
        <w:rPr>
          <w:rFonts w:hint="eastAsia" w:ascii="仿宋_GB2312" w:hAnsi="仿宋" w:eastAsia="仿宋_GB2312"/>
          <w:color w:val="000000" w:themeColor="text1"/>
          <w:sz w:val="32"/>
          <w:szCs w:val="32"/>
        </w:rPr>
        <w:t>资金使用管理中的损失浪费现象，使资金达到</w:t>
      </w:r>
      <w:r>
        <w:rPr>
          <w:rFonts w:hint="eastAsia" w:ascii="仿宋_GB2312" w:hAnsi="仿宋" w:eastAsia="仿宋_GB2312"/>
          <w:color w:val="000000" w:themeColor="text1"/>
          <w:sz w:val="32"/>
          <w:szCs w:val="32"/>
          <w:lang w:eastAsia="zh-CN"/>
        </w:rPr>
        <w:t>了</w:t>
      </w:r>
      <w:r>
        <w:rPr>
          <w:rFonts w:hint="eastAsia" w:ascii="仿宋_GB2312" w:hAnsi="仿宋" w:eastAsia="仿宋_GB2312"/>
          <w:color w:val="000000" w:themeColor="text1"/>
          <w:sz w:val="32"/>
          <w:szCs w:val="32"/>
        </w:rPr>
        <w:t>合理、优化配给。</w:t>
      </w:r>
      <w:r>
        <w:rPr>
          <w:rFonts w:hint="eastAsia" w:ascii="仿宋_GB2312" w:hAnsi="仿宋" w:eastAsia="仿宋_GB2312"/>
          <w:color w:val="000000" w:themeColor="text1"/>
          <w:sz w:val="32"/>
          <w:szCs w:val="32"/>
          <w:lang w:eastAsia="zh-CN"/>
        </w:rPr>
        <w:t>自评结果为</w:t>
      </w:r>
      <w:r>
        <w:rPr>
          <w:rFonts w:hint="eastAsia" w:ascii="仿宋_GB2312" w:hAnsi="仿宋" w:eastAsia="仿宋_GB2312"/>
          <w:color w:val="000000" w:themeColor="text1"/>
          <w:sz w:val="32"/>
          <w:szCs w:val="32"/>
          <w:lang w:val="en-US" w:eastAsia="zh-CN"/>
        </w:rPr>
        <w:t>优</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其中：</w:t>
      </w:r>
      <w:r>
        <w:rPr>
          <w:rFonts w:hint="eastAsia" w:ascii="仿宋_GB2312" w:hAnsi="仿宋" w:eastAsia="仿宋_GB2312"/>
          <w:color w:val="000000" w:themeColor="text1"/>
          <w:sz w:val="32"/>
          <w:szCs w:val="32"/>
          <w:lang w:eastAsia="zh-CN"/>
        </w:rPr>
        <w:t>纲要规划成果完成率为</w:t>
      </w:r>
      <w:r>
        <w:rPr>
          <w:rFonts w:hint="eastAsia" w:ascii="仿宋_GB2312" w:hAnsi="仿宋" w:eastAsia="仿宋_GB2312"/>
          <w:color w:val="000000" w:themeColor="text1"/>
          <w:sz w:val="32"/>
          <w:szCs w:val="32"/>
          <w:lang w:val="en-US" w:eastAsia="zh-CN"/>
        </w:rPr>
        <w:t>95%，绩效指标评价为优，综合利用率为95%，绩效指标评价为优。</w:t>
      </w:r>
    </w:p>
    <w:bookmarkEnd w:id="0"/>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（七）其他重要事项的说明</w:t>
      </w:r>
    </w:p>
    <w:p>
      <w:pPr>
        <w:widowControl/>
        <w:spacing w:line="560" w:lineRule="exact"/>
        <w:ind w:firstLine="643" w:firstLineChars="200"/>
        <w:rPr>
          <w:rFonts w:ascii="仿宋_GB2312" w:hAnsi="仿宋" w:eastAsia="仿宋_GB2312"/>
          <w:color w:val="000000" w:themeColor="text1"/>
          <w:sz w:val="32"/>
          <w:szCs w:val="32"/>
        </w:rPr>
      </w:pPr>
      <w:r>
        <w:rPr>
          <w:rFonts w:eastAsia="仿宋_GB2312"/>
          <w:b/>
          <w:bCs/>
          <w:color w:val="000000" w:themeColor="text1"/>
          <w:sz w:val="32"/>
          <w:szCs w:val="32"/>
        </w:rPr>
        <w:t>1</w:t>
      </w:r>
      <w:r>
        <w:rPr>
          <w:rFonts w:hint="eastAsia" w:eastAsia="仿宋_GB2312"/>
          <w:b/>
          <w:bCs/>
          <w:color w:val="000000" w:themeColor="text1"/>
          <w:sz w:val="32"/>
          <w:szCs w:val="32"/>
        </w:rPr>
        <w:t>、</w:t>
      </w:r>
      <w:r>
        <w:rPr>
          <w:rFonts w:eastAsia="仿宋_GB2312"/>
          <w:b/>
          <w:bCs/>
          <w:color w:val="000000" w:themeColor="text1"/>
          <w:sz w:val="32"/>
          <w:szCs w:val="32"/>
        </w:rPr>
        <w:t>机关运行经费情况</w:t>
      </w:r>
      <w:r>
        <w:rPr>
          <w:rFonts w:hint="eastAsia" w:eastAsia="仿宋_GB2312"/>
          <w:b/>
          <w:bCs/>
          <w:color w:val="000000" w:themeColor="text1"/>
          <w:sz w:val="32"/>
          <w:szCs w:val="32"/>
        </w:rPr>
        <w:t>：</w:t>
      </w:r>
      <w:r>
        <w:rPr>
          <w:rFonts w:hint="eastAsia" w:ascii="仿宋_GB2312" w:hAnsi="仿宋" w:eastAsia="仿宋_GB2312"/>
          <w:color w:val="000000" w:themeColor="text1"/>
          <w:sz w:val="32"/>
          <w:szCs w:val="32"/>
        </w:rPr>
        <w:t>2017年度部门机关运行经费支出22.17万元，比2016年度</w:t>
      </w:r>
      <w:r>
        <w:rPr>
          <w:rFonts w:ascii="仿宋_GB2312" w:hAnsi="仿宋" w:eastAsia="仿宋_GB2312"/>
          <w:color w:val="000000" w:themeColor="text1"/>
          <w:sz w:val="32"/>
          <w:szCs w:val="32"/>
        </w:rPr>
        <w:t>增加</w:t>
      </w:r>
      <w:r>
        <w:rPr>
          <w:rFonts w:hint="eastAsia" w:ascii="仿宋_GB2312" w:hAnsi="仿宋" w:eastAsia="仿宋_GB2312"/>
          <w:color w:val="000000" w:themeColor="text1"/>
          <w:sz w:val="32"/>
          <w:szCs w:val="32"/>
        </w:rPr>
        <w:t>10.24万元，</w:t>
      </w:r>
      <w:r>
        <w:rPr>
          <w:rFonts w:hint="eastAsia" w:ascii="仿宋" w:hAnsi="仿宋" w:eastAsia="仿宋" w:cs="仿宋"/>
          <w:color w:val="000000" w:themeColor="text1"/>
          <w:sz w:val="32"/>
        </w:rPr>
        <w:t>增长8</w:t>
      </w:r>
      <w:r>
        <w:rPr>
          <w:rFonts w:hint="eastAsia" w:ascii="仿宋" w:hAnsi="仿宋" w:eastAsia="仿宋" w:cs="仿宋"/>
          <w:color w:val="000000" w:themeColor="text1"/>
          <w:sz w:val="32"/>
          <w:lang w:val="en-US" w:eastAsia="zh-CN"/>
        </w:rPr>
        <w:t>5.83</w:t>
      </w:r>
      <w:r>
        <w:rPr>
          <w:rFonts w:hint="eastAsia" w:ascii="仿宋" w:hAnsi="仿宋" w:eastAsia="仿宋" w:cs="仿宋"/>
          <w:color w:val="000000" w:themeColor="text1"/>
          <w:sz w:val="32"/>
        </w:rPr>
        <w:t>%。主要</w:t>
      </w:r>
      <w:r>
        <w:rPr>
          <w:rFonts w:hint="eastAsia" w:ascii="仿宋_GB2312" w:hAnsi="仿宋" w:eastAsia="仿宋_GB2312"/>
          <w:color w:val="000000" w:themeColor="text1"/>
          <w:sz w:val="32"/>
          <w:szCs w:val="32"/>
        </w:rPr>
        <w:t>原因是新增借调人员费用。</w:t>
      </w:r>
    </w:p>
    <w:p>
      <w:pPr>
        <w:autoSpaceDE w:val="0"/>
        <w:autoSpaceDN w:val="0"/>
        <w:snapToGrid w:val="0"/>
        <w:spacing w:line="560" w:lineRule="exact"/>
        <w:ind w:firstLine="643" w:firstLineChars="200"/>
        <w:rPr>
          <w:rFonts w:ascii="仿宋_GB2312" w:hAnsi="仿宋_GB2312" w:eastAsia="仿宋_GB2312" w:cs="仿宋_GB2312"/>
          <w:color w:val="000000" w:themeColor="text1"/>
          <w:kern w:val="0"/>
          <w:sz w:val="32"/>
          <w:szCs w:val="32"/>
          <w:shd w:val="clear" w:color="auto" w:fill="FFFFFF"/>
        </w:rPr>
      </w:pPr>
      <w:r>
        <w:rPr>
          <w:rFonts w:eastAsia="仿宋_GB2312"/>
          <w:b/>
          <w:bCs/>
          <w:color w:val="000000" w:themeColor="text1"/>
          <w:sz w:val="32"/>
          <w:szCs w:val="32"/>
        </w:rPr>
        <w:t>2</w:t>
      </w:r>
      <w:r>
        <w:rPr>
          <w:rFonts w:hint="eastAsia" w:eastAsia="仿宋_GB2312"/>
          <w:b/>
          <w:bCs/>
          <w:color w:val="000000" w:themeColor="text1"/>
          <w:sz w:val="32"/>
          <w:szCs w:val="32"/>
        </w:rPr>
        <w:t>、</w:t>
      </w:r>
      <w:r>
        <w:rPr>
          <w:rFonts w:eastAsia="仿宋_GB2312"/>
          <w:b/>
          <w:bCs/>
          <w:color w:val="000000" w:themeColor="text1"/>
          <w:sz w:val="32"/>
          <w:szCs w:val="32"/>
        </w:rPr>
        <w:t>政府采购情况</w:t>
      </w:r>
      <w:r>
        <w:rPr>
          <w:rFonts w:hint="eastAsia" w:eastAsia="仿宋_GB2312"/>
          <w:b/>
          <w:bCs/>
          <w:color w:val="000000" w:themeColor="text1"/>
          <w:sz w:val="32"/>
          <w:szCs w:val="32"/>
        </w:rPr>
        <w:t>：</w:t>
      </w:r>
      <w:r>
        <w:rPr>
          <w:rFonts w:ascii="仿宋_GB2312" w:hAnsi="仿宋_GB2312" w:eastAsia="仿宋_GB2312" w:cs="仿宋_GB2312"/>
          <w:color w:val="000000" w:themeColor="text1"/>
          <w:kern w:val="0"/>
          <w:sz w:val="32"/>
          <w:szCs w:val="32"/>
          <w:shd w:val="clear" w:color="auto" w:fill="FFFFFF"/>
        </w:rPr>
        <w:t>201</w:t>
      </w:r>
      <w:r>
        <w:rPr>
          <w:rFonts w:hint="eastAsia" w:ascii="仿宋_GB2312" w:hAnsi="仿宋_GB2312" w:eastAsia="仿宋_GB2312" w:cs="仿宋_GB2312"/>
          <w:color w:val="000000" w:themeColor="text1"/>
          <w:kern w:val="0"/>
          <w:sz w:val="32"/>
          <w:szCs w:val="32"/>
          <w:shd w:val="clear" w:color="auto" w:fill="FFFFFF"/>
        </w:rPr>
        <w:t>7</w:t>
      </w:r>
      <w:r>
        <w:rPr>
          <w:rFonts w:ascii="仿宋_GB2312" w:hAnsi="仿宋_GB2312" w:eastAsia="仿宋_GB2312" w:cs="仿宋_GB2312"/>
          <w:color w:val="000000" w:themeColor="text1"/>
          <w:kern w:val="0"/>
          <w:sz w:val="32"/>
          <w:szCs w:val="32"/>
          <w:shd w:val="clear" w:color="auto" w:fill="FFFFFF"/>
        </w:rPr>
        <w:t>年</w:t>
      </w:r>
      <w:r>
        <w:rPr>
          <w:rFonts w:hint="eastAsia" w:ascii="仿宋_GB2312" w:hAnsi="仿宋_GB2312" w:eastAsia="仿宋_GB2312" w:cs="仿宋_GB2312"/>
          <w:color w:val="000000" w:themeColor="text1"/>
          <w:kern w:val="0"/>
          <w:sz w:val="32"/>
          <w:szCs w:val="32"/>
          <w:shd w:val="clear" w:color="auto" w:fill="FFFFFF"/>
        </w:rPr>
        <w:t>度部门</w:t>
      </w:r>
      <w:r>
        <w:rPr>
          <w:rFonts w:ascii="仿宋_GB2312" w:hAnsi="仿宋_GB2312" w:eastAsia="仿宋_GB2312" w:cs="仿宋_GB2312"/>
          <w:color w:val="000000" w:themeColor="text1"/>
          <w:kern w:val="0"/>
          <w:sz w:val="32"/>
          <w:szCs w:val="32"/>
          <w:shd w:val="clear" w:color="auto" w:fill="FFFFFF"/>
        </w:rPr>
        <w:t>政府采购</w:t>
      </w:r>
      <w:r>
        <w:rPr>
          <w:rFonts w:hint="eastAsia" w:ascii="仿宋_GB2312" w:hAnsi="仿宋_GB2312" w:eastAsia="仿宋_GB2312" w:cs="仿宋_GB2312"/>
          <w:color w:val="000000" w:themeColor="text1"/>
          <w:kern w:val="0"/>
          <w:sz w:val="32"/>
          <w:szCs w:val="32"/>
          <w:shd w:val="clear" w:color="auto" w:fill="FFFFFF"/>
        </w:rPr>
        <w:t>支出</w:t>
      </w:r>
      <w:r>
        <w:rPr>
          <w:rFonts w:hint="eastAsia" w:ascii="仿宋_GB2312" w:hAnsi="仿宋" w:eastAsia="仿宋_GB2312"/>
          <w:color w:val="000000" w:themeColor="text1"/>
          <w:sz w:val="32"/>
          <w:szCs w:val="32"/>
        </w:rPr>
        <w:t>0</w:t>
      </w:r>
      <w:r>
        <w:rPr>
          <w:rFonts w:ascii="仿宋_GB2312" w:hAnsi="仿宋_GB2312" w:eastAsia="仿宋_GB2312" w:cs="仿宋_GB2312"/>
          <w:color w:val="000000" w:themeColor="text1"/>
          <w:kern w:val="0"/>
          <w:sz w:val="32"/>
          <w:szCs w:val="32"/>
          <w:shd w:val="clear" w:color="auto" w:fill="FFFFFF"/>
        </w:rPr>
        <w:t>万元</w:t>
      </w:r>
      <w:r>
        <w:rPr>
          <w:rFonts w:hint="eastAsia" w:ascii="仿宋_GB2312" w:hAnsi="仿宋_GB2312" w:eastAsia="仿宋_GB2312" w:cs="仿宋_GB2312"/>
          <w:color w:val="000000" w:themeColor="text1"/>
          <w:kern w:val="0"/>
          <w:sz w:val="32"/>
          <w:szCs w:val="32"/>
          <w:shd w:val="clear" w:color="auto" w:fill="FFFFFF"/>
        </w:rPr>
        <w:t>，其中：政府采购货物支出</w:t>
      </w:r>
      <w:r>
        <w:rPr>
          <w:rFonts w:hint="eastAsia" w:ascii="仿宋_GB2312" w:hAnsi="仿宋" w:eastAsia="仿宋_GB2312"/>
          <w:color w:val="000000" w:themeColor="text1"/>
          <w:sz w:val="32"/>
          <w:szCs w:val="32"/>
        </w:rPr>
        <w:t>0</w:t>
      </w:r>
      <w:r>
        <w:rPr>
          <w:rFonts w:hint="eastAsia" w:ascii="仿宋_GB2312" w:hAnsi="仿宋_GB2312" w:eastAsia="仿宋_GB2312" w:cs="仿宋_GB2312"/>
          <w:color w:val="000000" w:themeColor="text1"/>
          <w:kern w:val="0"/>
          <w:sz w:val="32"/>
          <w:szCs w:val="32"/>
          <w:shd w:val="clear" w:color="auto" w:fill="FFFFFF"/>
        </w:rPr>
        <w:t>万元，政府采购工程支出</w:t>
      </w:r>
      <w:r>
        <w:rPr>
          <w:rFonts w:hint="eastAsia" w:ascii="仿宋_GB2312" w:hAnsi="仿宋" w:eastAsia="仿宋_GB2312"/>
          <w:color w:val="000000" w:themeColor="text1"/>
          <w:sz w:val="32"/>
          <w:szCs w:val="32"/>
        </w:rPr>
        <w:t>0</w:t>
      </w:r>
      <w:r>
        <w:rPr>
          <w:rFonts w:hint="eastAsia" w:ascii="仿宋_GB2312" w:hAnsi="仿宋_GB2312" w:eastAsia="仿宋_GB2312" w:cs="仿宋_GB2312"/>
          <w:color w:val="000000" w:themeColor="text1"/>
          <w:kern w:val="0"/>
          <w:sz w:val="32"/>
          <w:szCs w:val="32"/>
          <w:shd w:val="clear" w:color="auto" w:fill="FFFFFF"/>
        </w:rPr>
        <w:t>万元，政府采购服务支出</w:t>
      </w:r>
      <w:r>
        <w:rPr>
          <w:rFonts w:hint="eastAsia" w:ascii="仿宋_GB2312" w:hAnsi="仿宋" w:eastAsia="仿宋_GB2312"/>
          <w:color w:val="000000" w:themeColor="text1"/>
          <w:sz w:val="32"/>
          <w:szCs w:val="32"/>
        </w:rPr>
        <w:t>0</w:t>
      </w:r>
      <w:r>
        <w:rPr>
          <w:rFonts w:hint="eastAsia" w:ascii="仿宋_GB2312" w:hAnsi="仿宋_GB2312" w:eastAsia="仿宋_GB2312" w:cs="仿宋_GB2312"/>
          <w:color w:val="000000" w:themeColor="text1"/>
          <w:kern w:val="0"/>
          <w:sz w:val="32"/>
          <w:szCs w:val="32"/>
          <w:shd w:val="clear" w:color="auto" w:fill="FFFFFF"/>
        </w:rPr>
        <w:t>万元。</w:t>
      </w:r>
    </w:p>
    <w:p>
      <w:pPr>
        <w:widowControl/>
        <w:spacing w:line="560" w:lineRule="exact"/>
        <w:ind w:firstLine="643" w:firstLineChars="200"/>
        <w:jc w:val="left"/>
        <w:rPr>
          <w:rFonts w:ascii="仿宋_GB2312" w:hAnsi="仿宋_GB2312" w:eastAsia="仿宋_GB2312" w:cs="仿宋_GB2312"/>
          <w:color w:val="000000" w:themeColor="text1"/>
          <w:kern w:val="0"/>
          <w:sz w:val="32"/>
          <w:szCs w:val="32"/>
          <w:shd w:val="clear" w:color="auto" w:fill="FFFFFF"/>
        </w:rPr>
      </w:pPr>
      <w:r>
        <w:rPr>
          <w:rFonts w:eastAsia="仿宋_GB2312"/>
          <w:b/>
          <w:bCs/>
          <w:color w:val="000000" w:themeColor="text1"/>
          <w:sz w:val="32"/>
          <w:szCs w:val="32"/>
        </w:rPr>
        <w:t>3</w:t>
      </w:r>
      <w:r>
        <w:rPr>
          <w:rFonts w:hint="eastAsia" w:eastAsia="仿宋_GB2312"/>
          <w:b/>
          <w:bCs/>
          <w:color w:val="000000" w:themeColor="text1"/>
          <w:sz w:val="32"/>
          <w:szCs w:val="32"/>
        </w:rPr>
        <w:t>、</w:t>
      </w:r>
      <w:r>
        <w:rPr>
          <w:rFonts w:eastAsia="仿宋_GB2312"/>
          <w:b/>
          <w:bCs/>
          <w:color w:val="000000" w:themeColor="text1"/>
          <w:sz w:val="32"/>
          <w:szCs w:val="32"/>
        </w:rPr>
        <w:t>国有资产占用情况</w:t>
      </w:r>
      <w:r>
        <w:rPr>
          <w:rFonts w:hint="eastAsia" w:eastAsia="仿宋_GB2312"/>
          <w:b/>
          <w:bCs/>
          <w:color w:val="000000" w:themeColor="text1"/>
          <w:sz w:val="32"/>
          <w:szCs w:val="32"/>
        </w:rPr>
        <w:t>:</w:t>
      </w:r>
      <w:r>
        <w:rPr>
          <w:rFonts w:hint="eastAsia" w:ascii="仿宋_GB2312" w:hAnsi="仿宋_GB2312" w:eastAsia="仿宋_GB2312"/>
          <w:color w:val="000000" w:themeColor="text1"/>
          <w:sz w:val="32"/>
        </w:rPr>
        <w:t>截至2017年12月31日，本部门共有车辆</w:t>
      </w:r>
      <w:r>
        <w:rPr>
          <w:rFonts w:hint="eastAsia" w:ascii="仿宋_GB2312" w:hAnsi="仿宋" w:eastAsia="仿宋_GB2312"/>
          <w:color w:val="000000" w:themeColor="text1"/>
          <w:sz w:val="32"/>
          <w:szCs w:val="32"/>
        </w:rPr>
        <w:t>1</w:t>
      </w:r>
      <w:r>
        <w:rPr>
          <w:rFonts w:hint="eastAsia" w:ascii="仿宋_GB2312" w:hAnsi="仿宋_GB2312" w:eastAsia="仿宋_GB2312"/>
          <w:color w:val="000000" w:themeColor="text1"/>
          <w:sz w:val="32"/>
        </w:rPr>
        <w:t>辆，其中，一般公务用车</w:t>
      </w:r>
      <w:r>
        <w:rPr>
          <w:rFonts w:hint="eastAsia" w:ascii="仿宋_GB2312" w:hAnsi="仿宋" w:eastAsia="仿宋_GB2312"/>
          <w:color w:val="000000" w:themeColor="text1"/>
          <w:sz w:val="32"/>
          <w:szCs w:val="32"/>
        </w:rPr>
        <w:t>1</w:t>
      </w:r>
      <w:r>
        <w:rPr>
          <w:rFonts w:hint="eastAsia" w:ascii="仿宋_GB2312" w:hAnsi="仿宋_GB2312" w:eastAsia="仿宋_GB2312"/>
          <w:color w:val="000000" w:themeColor="text1"/>
          <w:sz w:val="32"/>
        </w:rPr>
        <w:t>辆；单位价值50万元以上通用设备</w:t>
      </w:r>
      <w:r>
        <w:rPr>
          <w:rFonts w:hint="eastAsia" w:ascii="仿宋_GB2312" w:hAnsi="仿宋" w:eastAsia="仿宋_GB2312"/>
          <w:color w:val="000000" w:themeColor="text1"/>
          <w:sz w:val="32"/>
          <w:szCs w:val="32"/>
        </w:rPr>
        <w:t>0</w:t>
      </w:r>
      <w:r>
        <w:rPr>
          <w:rFonts w:hint="eastAsia" w:ascii="仿宋_GB2312" w:hAnsi="仿宋_GB2312" w:eastAsia="仿宋_GB2312"/>
          <w:color w:val="000000" w:themeColor="text1"/>
          <w:sz w:val="32"/>
        </w:rPr>
        <w:t>台（套），单价100万元以上专用设备</w:t>
      </w:r>
      <w:r>
        <w:rPr>
          <w:rFonts w:hint="eastAsia" w:ascii="仿宋_GB2312" w:hAnsi="仿宋" w:eastAsia="仿宋_GB2312"/>
          <w:color w:val="000000" w:themeColor="text1"/>
          <w:sz w:val="32"/>
          <w:szCs w:val="32"/>
        </w:rPr>
        <w:t>0</w:t>
      </w:r>
      <w:r>
        <w:rPr>
          <w:rFonts w:hint="eastAsia" w:ascii="仿宋_GB2312" w:hAnsi="仿宋_GB2312" w:eastAsia="仿宋_GB2312"/>
          <w:color w:val="000000" w:themeColor="text1"/>
          <w:sz w:val="32"/>
        </w:rPr>
        <w:t>台（套）。</w:t>
      </w:r>
    </w:p>
    <w:p>
      <w:pPr>
        <w:widowControl/>
        <w:spacing w:line="560" w:lineRule="exact"/>
        <w:ind w:firstLine="640" w:firstLineChars="200"/>
        <w:rPr>
          <w:rFonts w:ascii="仿宋_GB2312" w:hAnsi="仿宋_GB2312" w:eastAsia="仿宋_GB2312" w:cs="仿宋_GB2312"/>
          <w:color w:val="FF0000"/>
          <w:kern w:val="0"/>
          <w:sz w:val="32"/>
          <w:szCs w:val="32"/>
          <w:shd w:val="clear" w:color="auto" w:fill="FFFFFF"/>
        </w:rPr>
      </w:pPr>
    </w:p>
    <w:tbl>
      <w:tblPr>
        <w:tblStyle w:val="4"/>
        <w:tblW w:w="14174" w:type="dxa"/>
        <w:tblInd w:w="0" w:type="dxa"/>
        <w:tblLayout w:type="fixed"/>
        <w:tblCellMar>
          <w:top w:w="0" w:type="dxa"/>
          <w:left w:w="108" w:type="dxa"/>
          <w:bottom w:w="0" w:type="dxa"/>
          <w:right w:w="108" w:type="dxa"/>
        </w:tblCellMar>
      </w:tblPr>
      <w:tblGrid>
        <w:gridCol w:w="5493"/>
        <w:gridCol w:w="3314"/>
        <w:gridCol w:w="5367"/>
      </w:tblGrid>
      <w:tr>
        <w:tblPrEx>
          <w:tblLayout w:type="fixed"/>
          <w:tblCellMar>
            <w:top w:w="0" w:type="dxa"/>
            <w:left w:w="108" w:type="dxa"/>
            <w:bottom w:w="0" w:type="dxa"/>
            <w:right w:w="108" w:type="dxa"/>
          </w:tblCellMar>
        </w:tblPrEx>
        <w:trPr>
          <w:trHeight w:val="575" w:hRule="atLeast"/>
        </w:trPr>
        <w:tc>
          <w:tcPr>
            <w:tcW w:w="14174" w:type="dxa"/>
            <w:gridSpan w:val="3"/>
            <w:tcBorders>
              <w:top w:val="nil"/>
              <w:left w:val="nil"/>
              <w:bottom w:val="nil"/>
              <w:right w:val="nil"/>
            </w:tcBorders>
            <w:vAlign w:val="center"/>
          </w:tcPr>
          <w:p>
            <w:pPr>
              <w:widowControl/>
              <w:spacing w:line="560" w:lineRule="exact"/>
              <w:ind w:firstLine="562" w:firstLineChars="200"/>
              <w:jc w:val="center"/>
              <w:rPr>
                <w:rFonts w:ascii="宋体" w:hAnsi="宋体" w:cs="宋体"/>
                <w:b/>
                <w:bCs/>
                <w:color w:val="000000" w:themeColor="text1"/>
                <w:kern w:val="0"/>
                <w:sz w:val="28"/>
                <w:szCs w:val="28"/>
              </w:rPr>
            </w:pPr>
            <w:r>
              <w:rPr>
                <w:rFonts w:hint="eastAsia" w:ascii="宋体" w:hAnsi="宋体" w:cs="宋体"/>
                <w:b/>
                <w:bCs/>
                <w:color w:val="000000" w:themeColor="text1"/>
                <w:kern w:val="0"/>
                <w:sz w:val="28"/>
                <w:szCs w:val="28"/>
              </w:rPr>
              <w:t>霸州市委统战部部门固定资产占用情况表</w:t>
            </w:r>
          </w:p>
        </w:tc>
      </w:tr>
      <w:tr>
        <w:tblPrEx>
          <w:tblLayout w:type="fixed"/>
          <w:tblCellMar>
            <w:top w:w="0" w:type="dxa"/>
            <w:left w:w="108" w:type="dxa"/>
            <w:bottom w:w="0" w:type="dxa"/>
            <w:right w:w="108" w:type="dxa"/>
          </w:tblCellMar>
        </w:tblPrEx>
        <w:trPr>
          <w:trHeight w:val="493" w:hRule="atLeast"/>
        </w:trPr>
        <w:tc>
          <w:tcPr>
            <w:tcW w:w="8807" w:type="dxa"/>
            <w:gridSpan w:val="2"/>
            <w:tcBorders>
              <w:top w:val="nil"/>
              <w:left w:val="nil"/>
              <w:bottom w:val="nil"/>
              <w:right w:val="nil"/>
            </w:tcBorders>
            <w:vAlign w:val="center"/>
          </w:tcPr>
          <w:p>
            <w:pPr>
              <w:widowControl/>
              <w:spacing w:line="560" w:lineRule="exact"/>
              <w:ind w:firstLine="440" w:firstLineChars="200"/>
              <w:rPr>
                <w:color w:val="000000" w:themeColor="text1"/>
                <w:kern w:val="0"/>
                <w:sz w:val="22"/>
              </w:rPr>
            </w:pPr>
            <w:r>
              <w:rPr>
                <w:rFonts w:hint="eastAsia" w:ascii="宋体" w:hAnsi="宋体" w:cs="宋体"/>
                <w:color w:val="000000" w:themeColor="text1"/>
                <w:kern w:val="0"/>
                <w:sz w:val="22"/>
              </w:rPr>
              <w:t>编制部门：</w:t>
            </w:r>
            <w:r>
              <w:rPr>
                <w:rFonts w:hint="eastAsia" w:ascii="宋体" w:hAnsi="宋体" w:cs="宋体"/>
                <w:color w:val="000000" w:themeColor="text1"/>
                <w:kern w:val="0"/>
                <w:sz w:val="22"/>
                <w:lang w:val="en-US" w:eastAsia="zh-CN"/>
              </w:rPr>
              <w:t>130</w:t>
            </w:r>
            <w:r>
              <w:rPr>
                <w:rFonts w:hint="eastAsia" w:ascii="宋体" w:hAnsi="宋体" w:cs="宋体"/>
                <w:color w:val="000000" w:themeColor="text1"/>
                <w:kern w:val="0"/>
                <w:sz w:val="22"/>
                <w:highlight w:val="none"/>
              </w:rPr>
              <w:t>霸</w:t>
            </w:r>
            <w:r>
              <w:rPr>
                <w:rFonts w:hint="eastAsia" w:ascii="宋体" w:hAnsi="宋体" w:cs="宋体"/>
                <w:color w:val="000000" w:themeColor="text1"/>
                <w:kern w:val="0"/>
                <w:sz w:val="22"/>
              </w:rPr>
              <w:t>州市委统战部部门</w:t>
            </w:r>
          </w:p>
        </w:tc>
        <w:tc>
          <w:tcPr>
            <w:tcW w:w="5367" w:type="dxa"/>
            <w:tcBorders>
              <w:top w:val="nil"/>
              <w:left w:val="nil"/>
              <w:bottom w:val="nil"/>
              <w:right w:val="nil"/>
            </w:tcBorders>
            <w:vAlign w:val="center"/>
          </w:tcPr>
          <w:p>
            <w:pPr>
              <w:widowControl/>
              <w:spacing w:line="560" w:lineRule="exact"/>
              <w:rPr>
                <w:color w:val="000000" w:themeColor="text1"/>
                <w:kern w:val="0"/>
                <w:sz w:val="22"/>
              </w:rPr>
            </w:pPr>
            <w:r>
              <w:rPr>
                <w:color w:val="000000" w:themeColor="text1"/>
                <w:kern w:val="0"/>
                <w:sz w:val="22"/>
              </w:rPr>
              <w:t>截止时间：201</w:t>
            </w:r>
            <w:r>
              <w:rPr>
                <w:rFonts w:hint="eastAsia"/>
                <w:color w:val="000000" w:themeColor="text1"/>
                <w:kern w:val="0"/>
                <w:sz w:val="22"/>
              </w:rPr>
              <w:t>7</w:t>
            </w:r>
            <w:r>
              <w:rPr>
                <w:color w:val="000000" w:themeColor="text1"/>
                <w:kern w:val="0"/>
                <w:sz w:val="22"/>
              </w:rPr>
              <w:t>年12月31日</w:t>
            </w:r>
          </w:p>
        </w:tc>
      </w:tr>
      <w:tr>
        <w:tblPrEx>
          <w:tblLayout w:type="fixed"/>
          <w:tblCellMar>
            <w:top w:w="0" w:type="dxa"/>
            <w:left w:w="108" w:type="dxa"/>
            <w:bottom w:w="0" w:type="dxa"/>
            <w:right w:w="108" w:type="dxa"/>
          </w:tblCellMar>
        </w:tblPrEx>
        <w:trPr>
          <w:trHeight w:val="571" w:hRule="atLeast"/>
        </w:trPr>
        <w:tc>
          <w:tcPr>
            <w:tcW w:w="549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42" w:firstLineChars="200"/>
              <w:rPr>
                <w:b/>
                <w:bCs/>
                <w:color w:val="000000" w:themeColor="text1"/>
                <w:kern w:val="0"/>
                <w:sz w:val="22"/>
              </w:rPr>
            </w:pPr>
            <w:r>
              <w:rPr>
                <w:b/>
                <w:bCs/>
                <w:color w:val="000000" w:themeColor="text1"/>
                <w:kern w:val="0"/>
                <w:sz w:val="22"/>
              </w:rPr>
              <w:t>项  目</w:t>
            </w:r>
          </w:p>
        </w:tc>
        <w:tc>
          <w:tcPr>
            <w:tcW w:w="3314" w:type="dxa"/>
            <w:tcBorders>
              <w:top w:val="single" w:color="auto" w:sz="4" w:space="0"/>
              <w:left w:val="nil"/>
              <w:bottom w:val="single" w:color="auto" w:sz="4" w:space="0"/>
              <w:right w:val="single" w:color="auto" w:sz="4" w:space="0"/>
            </w:tcBorders>
            <w:vAlign w:val="center"/>
          </w:tcPr>
          <w:p>
            <w:pPr>
              <w:widowControl/>
              <w:spacing w:line="560" w:lineRule="exact"/>
              <w:ind w:firstLine="442" w:firstLineChars="200"/>
              <w:rPr>
                <w:b/>
                <w:bCs/>
                <w:color w:val="000000" w:themeColor="text1"/>
                <w:kern w:val="0"/>
                <w:sz w:val="22"/>
              </w:rPr>
            </w:pPr>
            <w:r>
              <w:rPr>
                <w:b/>
                <w:bCs/>
                <w:color w:val="000000" w:themeColor="text1"/>
                <w:kern w:val="0"/>
                <w:sz w:val="22"/>
              </w:rPr>
              <w:t>数量</w:t>
            </w:r>
          </w:p>
        </w:tc>
        <w:tc>
          <w:tcPr>
            <w:tcW w:w="5367" w:type="dxa"/>
            <w:tcBorders>
              <w:top w:val="single" w:color="auto" w:sz="4" w:space="0"/>
              <w:left w:val="nil"/>
              <w:bottom w:val="single" w:color="auto" w:sz="4" w:space="0"/>
              <w:right w:val="single" w:color="auto" w:sz="4" w:space="0"/>
            </w:tcBorders>
            <w:vAlign w:val="center"/>
          </w:tcPr>
          <w:p>
            <w:pPr>
              <w:widowControl/>
              <w:spacing w:line="560" w:lineRule="exact"/>
              <w:ind w:firstLine="442" w:firstLineChars="200"/>
              <w:rPr>
                <w:b/>
                <w:bCs/>
                <w:color w:val="000000" w:themeColor="text1"/>
                <w:kern w:val="0"/>
                <w:sz w:val="22"/>
              </w:rPr>
            </w:pPr>
            <w:r>
              <w:rPr>
                <w:b/>
                <w:bCs/>
                <w:color w:val="000000" w:themeColor="text1"/>
                <w:kern w:val="0"/>
                <w:sz w:val="22"/>
              </w:rPr>
              <w:t>价值（金额单位：万元）</w:t>
            </w: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color w:val="000000" w:themeColor="text1"/>
                <w:kern w:val="0"/>
                <w:sz w:val="22"/>
              </w:rPr>
            </w:pPr>
            <w:r>
              <w:rPr>
                <w:rFonts w:hint="eastAsia"/>
                <w:color w:val="000000" w:themeColor="text1"/>
                <w:kern w:val="0"/>
                <w:sz w:val="22"/>
              </w:rPr>
              <w:t>资产总额</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color w:val="000000" w:themeColor="text1"/>
                <w:kern w:val="0"/>
                <w:sz w:val="22"/>
              </w:rPr>
            </w:pPr>
            <w:r>
              <w:rPr>
                <w:color w:val="000000" w:themeColor="text1"/>
                <w:kern w:val="0"/>
                <w:sz w:val="22"/>
              </w:rPr>
              <w:t>——</w:t>
            </w:r>
          </w:p>
        </w:tc>
        <w:tc>
          <w:tcPr>
            <w:tcW w:w="5367" w:type="dxa"/>
            <w:tcBorders>
              <w:top w:val="nil"/>
              <w:left w:val="nil"/>
              <w:bottom w:val="single" w:color="auto" w:sz="4" w:space="0"/>
              <w:right w:val="single" w:color="auto" w:sz="4" w:space="0"/>
            </w:tcBorders>
            <w:vAlign w:val="center"/>
          </w:tcPr>
          <w:p>
            <w:pPr>
              <w:widowControl/>
              <w:spacing w:line="560" w:lineRule="exact"/>
              <w:ind w:firstLine="440" w:firstLineChars="200"/>
              <w:jc w:val="center"/>
              <w:rPr>
                <w:rFonts w:hint="eastAsia" w:eastAsia="宋体"/>
                <w:color w:val="000000" w:themeColor="text1"/>
                <w:kern w:val="0"/>
                <w:sz w:val="22"/>
                <w:lang w:val="en-US" w:eastAsia="zh-CN"/>
              </w:rPr>
            </w:pPr>
            <w:r>
              <w:rPr>
                <w:rFonts w:hint="eastAsia"/>
                <w:color w:val="000000" w:themeColor="text1"/>
                <w:kern w:val="0"/>
                <w:sz w:val="22"/>
                <w:highlight w:val="none"/>
                <w:lang w:val="en-US" w:eastAsia="zh-CN"/>
              </w:rPr>
              <w:t>25.00</w:t>
            </w: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color w:val="000000" w:themeColor="text1"/>
                <w:kern w:val="0"/>
                <w:sz w:val="22"/>
              </w:rPr>
            </w:pPr>
            <w:r>
              <w:rPr>
                <w:rFonts w:hint="eastAsia"/>
                <w:color w:val="000000" w:themeColor="text1"/>
                <w:kern w:val="0"/>
                <w:sz w:val="22"/>
              </w:rPr>
              <w:t>1、房屋（平方米）</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color w:val="000000" w:themeColor="text1"/>
                <w:kern w:val="0"/>
                <w:sz w:val="22"/>
              </w:rPr>
            </w:pPr>
          </w:p>
        </w:tc>
        <w:tc>
          <w:tcPr>
            <w:tcW w:w="5367" w:type="dxa"/>
            <w:tcBorders>
              <w:top w:val="nil"/>
              <w:left w:val="nil"/>
              <w:bottom w:val="single" w:color="auto" w:sz="4" w:space="0"/>
              <w:right w:val="single" w:color="auto" w:sz="4" w:space="0"/>
            </w:tcBorders>
            <w:vAlign w:val="center"/>
          </w:tcPr>
          <w:p>
            <w:pPr>
              <w:widowControl/>
              <w:spacing w:line="560" w:lineRule="exact"/>
              <w:ind w:firstLine="440" w:firstLineChars="200"/>
              <w:jc w:val="center"/>
              <w:rPr>
                <w:rFonts w:hint="eastAsia" w:eastAsia="宋体"/>
                <w:color w:val="000000" w:themeColor="text1"/>
                <w:kern w:val="0"/>
                <w:sz w:val="22"/>
                <w:lang w:val="en-US" w:eastAsia="zh-CN"/>
              </w:rPr>
            </w:pP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color w:val="000000" w:themeColor="text1"/>
                <w:kern w:val="0"/>
                <w:sz w:val="22"/>
              </w:rPr>
            </w:pPr>
            <w:r>
              <w:rPr>
                <w:color w:val="000000" w:themeColor="text1"/>
                <w:kern w:val="0"/>
                <w:sz w:val="22"/>
              </w:rPr>
              <w:t xml:space="preserve">  </w:t>
            </w:r>
            <w:r>
              <w:rPr>
                <w:rFonts w:hint="eastAsia"/>
                <w:color w:val="000000" w:themeColor="text1"/>
                <w:kern w:val="0"/>
                <w:sz w:val="22"/>
              </w:rPr>
              <w:t xml:space="preserve">  其中：办公用房（平方米）</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color w:val="000000" w:themeColor="text1"/>
                <w:kern w:val="0"/>
                <w:sz w:val="22"/>
              </w:rPr>
            </w:pPr>
          </w:p>
        </w:tc>
        <w:tc>
          <w:tcPr>
            <w:tcW w:w="5367" w:type="dxa"/>
            <w:tcBorders>
              <w:top w:val="nil"/>
              <w:left w:val="nil"/>
              <w:bottom w:val="single" w:color="auto" w:sz="4" w:space="0"/>
              <w:right w:val="single" w:color="auto" w:sz="4" w:space="0"/>
            </w:tcBorders>
            <w:vAlign w:val="center"/>
          </w:tcPr>
          <w:p>
            <w:pPr>
              <w:widowControl/>
              <w:spacing w:line="560" w:lineRule="exact"/>
              <w:ind w:firstLine="440" w:firstLineChars="200"/>
              <w:jc w:val="center"/>
              <w:rPr>
                <w:color w:val="000000" w:themeColor="text1"/>
                <w:kern w:val="0"/>
                <w:sz w:val="22"/>
              </w:rPr>
            </w:pP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color w:val="000000" w:themeColor="text1"/>
                <w:kern w:val="0"/>
                <w:sz w:val="22"/>
              </w:rPr>
            </w:pPr>
            <w:r>
              <w:rPr>
                <w:rFonts w:hint="eastAsia"/>
                <w:color w:val="000000" w:themeColor="text1"/>
                <w:kern w:val="0"/>
                <w:sz w:val="22"/>
              </w:rPr>
              <w:t>2、车辆（台、辆）</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color w:val="000000" w:themeColor="text1"/>
                <w:kern w:val="0"/>
                <w:sz w:val="22"/>
              </w:rPr>
            </w:pPr>
            <w:r>
              <w:rPr>
                <w:rFonts w:hint="eastAsia"/>
                <w:color w:val="000000" w:themeColor="text1"/>
                <w:kern w:val="0"/>
                <w:sz w:val="22"/>
              </w:rPr>
              <w:t>1</w:t>
            </w:r>
          </w:p>
        </w:tc>
        <w:tc>
          <w:tcPr>
            <w:tcW w:w="5367" w:type="dxa"/>
            <w:tcBorders>
              <w:top w:val="nil"/>
              <w:left w:val="nil"/>
              <w:bottom w:val="single" w:color="auto" w:sz="4" w:space="0"/>
              <w:right w:val="single" w:color="auto" w:sz="4" w:space="0"/>
            </w:tcBorders>
            <w:vAlign w:val="center"/>
          </w:tcPr>
          <w:p>
            <w:pPr>
              <w:widowControl/>
              <w:spacing w:line="560" w:lineRule="exact"/>
              <w:ind w:firstLine="440" w:firstLineChars="200"/>
              <w:jc w:val="center"/>
              <w:rPr>
                <w:color w:val="000000" w:themeColor="text1"/>
                <w:kern w:val="0"/>
                <w:sz w:val="22"/>
              </w:rPr>
            </w:pPr>
            <w:r>
              <w:rPr>
                <w:rFonts w:hint="eastAsia"/>
                <w:color w:val="000000" w:themeColor="text1"/>
                <w:kern w:val="0"/>
                <w:sz w:val="22"/>
              </w:rPr>
              <w:t>19.99</w:t>
            </w:r>
          </w:p>
        </w:tc>
      </w:tr>
      <w:tr>
        <w:tblPrEx>
          <w:tblLayout w:type="fixed"/>
          <w:tblCellMar>
            <w:top w:w="0" w:type="dxa"/>
            <w:left w:w="108" w:type="dxa"/>
            <w:bottom w:w="0" w:type="dxa"/>
            <w:right w:w="108" w:type="dxa"/>
          </w:tblCellMar>
        </w:tblPrEx>
        <w:trPr>
          <w:trHeight w:val="571"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color w:val="000000" w:themeColor="text1"/>
                <w:kern w:val="0"/>
                <w:sz w:val="22"/>
              </w:rPr>
            </w:pPr>
            <w:r>
              <w:rPr>
                <w:rFonts w:hint="eastAsia"/>
                <w:color w:val="000000" w:themeColor="text1"/>
                <w:kern w:val="0"/>
                <w:sz w:val="22"/>
              </w:rPr>
              <w:t>3、单价在50万元以上的设备</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color w:val="000000" w:themeColor="text1"/>
                <w:kern w:val="0"/>
                <w:sz w:val="22"/>
              </w:rPr>
            </w:pPr>
          </w:p>
        </w:tc>
        <w:tc>
          <w:tcPr>
            <w:tcW w:w="5367" w:type="dxa"/>
            <w:tcBorders>
              <w:top w:val="nil"/>
              <w:left w:val="nil"/>
              <w:bottom w:val="single" w:color="auto" w:sz="4" w:space="0"/>
              <w:right w:val="single" w:color="auto" w:sz="4" w:space="0"/>
            </w:tcBorders>
            <w:vAlign w:val="center"/>
          </w:tcPr>
          <w:p>
            <w:pPr>
              <w:widowControl/>
              <w:spacing w:line="560" w:lineRule="exact"/>
              <w:ind w:firstLine="440" w:firstLineChars="200"/>
              <w:jc w:val="center"/>
              <w:rPr>
                <w:color w:val="000000" w:themeColor="text1"/>
                <w:kern w:val="0"/>
                <w:sz w:val="22"/>
              </w:rPr>
            </w:pPr>
          </w:p>
        </w:tc>
      </w:tr>
      <w:tr>
        <w:tblPrEx>
          <w:tblLayout w:type="fixed"/>
          <w:tblCellMar>
            <w:top w:w="0" w:type="dxa"/>
            <w:left w:w="108" w:type="dxa"/>
            <w:bottom w:w="0" w:type="dxa"/>
            <w:right w:w="108" w:type="dxa"/>
          </w:tblCellMar>
        </w:tblPrEx>
        <w:trPr>
          <w:trHeight w:val="613" w:hRule="atLeast"/>
        </w:trPr>
        <w:tc>
          <w:tcPr>
            <w:tcW w:w="5493"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color w:val="000000" w:themeColor="text1"/>
                <w:kern w:val="0"/>
                <w:sz w:val="22"/>
              </w:rPr>
            </w:pPr>
            <w:r>
              <w:rPr>
                <w:rFonts w:hint="eastAsia"/>
                <w:color w:val="000000" w:themeColor="text1"/>
                <w:kern w:val="0"/>
                <w:sz w:val="22"/>
              </w:rPr>
              <w:t>4、其他固定资产</w:t>
            </w:r>
          </w:p>
        </w:tc>
        <w:tc>
          <w:tcPr>
            <w:tcW w:w="3314" w:type="dxa"/>
            <w:tcBorders>
              <w:top w:val="nil"/>
              <w:left w:val="nil"/>
              <w:bottom w:val="single" w:color="auto" w:sz="4" w:space="0"/>
              <w:right w:val="single" w:color="auto" w:sz="4" w:space="0"/>
            </w:tcBorders>
            <w:vAlign w:val="center"/>
          </w:tcPr>
          <w:p>
            <w:pPr>
              <w:widowControl/>
              <w:spacing w:line="560" w:lineRule="exact"/>
              <w:ind w:firstLine="440" w:firstLineChars="200"/>
              <w:rPr>
                <w:color w:val="000000" w:themeColor="text1"/>
                <w:kern w:val="0"/>
                <w:sz w:val="22"/>
              </w:rPr>
            </w:pPr>
          </w:p>
        </w:tc>
        <w:tc>
          <w:tcPr>
            <w:tcW w:w="5367" w:type="dxa"/>
            <w:tcBorders>
              <w:top w:val="nil"/>
              <w:left w:val="nil"/>
              <w:bottom w:val="single" w:color="auto" w:sz="4" w:space="0"/>
              <w:right w:val="single" w:color="auto" w:sz="4" w:space="0"/>
            </w:tcBorders>
            <w:vAlign w:val="center"/>
          </w:tcPr>
          <w:p>
            <w:pPr>
              <w:widowControl/>
              <w:spacing w:line="560" w:lineRule="exact"/>
              <w:ind w:firstLine="440" w:firstLineChars="200"/>
              <w:jc w:val="center"/>
              <w:rPr>
                <w:color w:val="000000" w:themeColor="text1"/>
                <w:kern w:val="0"/>
                <w:sz w:val="22"/>
              </w:rPr>
            </w:pPr>
            <w:r>
              <w:rPr>
                <w:rFonts w:hint="eastAsia"/>
                <w:color w:val="000000" w:themeColor="text1"/>
                <w:kern w:val="0"/>
                <w:sz w:val="22"/>
              </w:rPr>
              <w:t>5.01</w:t>
            </w:r>
          </w:p>
        </w:tc>
      </w:tr>
    </w:tbl>
    <w:p>
      <w:pPr>
        <w:widowControl/>
        <w:numPr>
          <w:ilvl w:val="0"/>
          <w:numId w:val="2"/>
        </w:numPr>
        <w:spacing w:line="560" w:lineRule="exact"/>
        <w:ind w:firstLine="643" w:firstLineChars="200"/>
        <w:rPr>
          <w:rFonts w:eastAsia="仿宋_GB2312"/>
          <w:b/>
          <w:bCs/>
          <w:color w:val="000000" w:themeColor="text1"/>
          <w:sz w:val="32"/>
          <w:szCs w:val="32"/>
        </w:rPr>
      </w:pPr>
      <w:r>
        <w:rPr>
          <w:rFonts w:eastAsia="仿宋_GB2312"/>
          <w:b/>
          <w:bCs/>
          <w:color w:val="000000" w:themeColor="text1"/>
          <w:sz w:val="32"/>
          <w:szCs w:val="32"/>
        </w:rPr>
        <w:t>其他需要说明的情况</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由于决算公开表格中金额数值应当保留两位小数，公开数据为四舍五入计算结果，个别数据合计项与分项之和存在小数点后差额，特此说明。</w:t>
      </w:r>
    </w:p>
    <w:p>
      <w:pPr>
        <w:autoSpaceDE w:val="0"/>
        <w:autoSpaceDN w:val="0"/>
        <w:adjustRightInd w:val="0"/>
        <w:spacing w:line="560" w:lineRule="exact"/>
        <w:ind w:firstLine="640" w:firstLineChars="200"/>
        <w:rPr>
          <w:rFonts w:ascii="仿宋" w:hAnsi="仿宋" w:eastAsia="仿宋" w:cs="仿宋"/>
          <w:color w:val="FF0000"/>
          <w:sz w:val="32"/>
          <w:szCs w:val="32"/>
        </w:rPr>
      </w:pPr>
      <w:r>
        <w:rPr>
          <w:rFonts w:hint="eastAsia" w:eastAsia="黑体"/>
          <w:sz w:val="32"/>
          <w:szCs w:val="32"/>
        </w:rPr>
        <w:t>四、</w:t>
      </w:r>
      <w:r>
        <w:rPr>
          <w:rFonts w:eastAsia="黑体"/>
          <w:sz w:val="32"/>
          <w:szCs w:val="32"/>
        </w:rPr>
        <w:t>名词解释</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（一）财政拨款收入：本年度从本级财政部门取得的财政拨款，包括一般公共预算财政拨款和政府性基金预算财政拨款。</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（二）事业收入：指事业单位开展专业业务活动及辅助活动所取得的收入。</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（三）其他收入：指除上述“财政拨款收入”、“事业收入”、“经营收入”等以外的收入。</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（五）年初结转和结余：指以前年度尚未完成、结转到本年仍按原规定用途继续使用的资金，或项目已完成等产生的结余资金。</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（六）结余分配：指事业单位按照事业单位会计制度的规定从非财政补助结余中分配的事业基金和职工福利基金等。</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（七）年末结转和结余：指单位按有关规定结转到下年或以后年度继续使用的资金，或项目已完成等产生的结余资金。</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（八）基本支出：填列单位为保障机构正常运转、完成日常工作任务而发生的各项支出。</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（九）项目支出：填列单位为完成特定的行政工作任务或事业发展目标，在基本支出之外发生的各项支出</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（十四）公务用车购置：填列单位公务用车车辆购置支出（含车辆购置税）。</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（十五）其他交通工具购置：填列单位除公务用车外的其他各类交通工具（如船舶、飞机）购置支出（含车辆购置税）。</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footerReference r:id="rId3" w:type="even"/>
      <w:pgSz w:w="16838" w:h="11906" w:orient="landscape"/>
      <w:pgMar w:top="1701" w:right="1440" w:bottom="1701"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2B126C"/>
    <w:multiLevelType w:val="singleLevel"/>
    <w:tmpl w:val="F22B126C"/>
    <w:lvl w:ilvl="0" w:tentative="0">
      <w:start w:val="4"/>
      <w:numFmt w:val="decimal"/>
      <w:suff w:val="nothing"/>
      <w:lvlText w:val="%1、"/>
      <w:lvlJc w:val="left"/>
    </w:lvl>
  </w:abstractNum>
  <w:abstractNum w:abstractNumId="1">
    <w:nsid w:val="5F6E5825"/>
    <w:multiLevelType w:val="singleLevel"/>
    <w:tmpl w:val="5F6E5825"/>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08"/>
    <w:rsid w:val="00052DDA"/>
    <w:rsid w:val="00551281"/>
    <w:rsid w:val="005774BD"/>
    <w:rsid w:val="00614BE8"/>
    <w:rsid w:val="007449E1"/>
    <w:rsid w:val="00964408"/>
    <w:rsid w:val="00AB2588"/>
    <w:rsid w:val="00AF43E9"/>
    <w:rsid w:val="00B6387C"/>
    <w:rsid w:val="13DE65D7"/>
    <w:rsid w:val="18257CE8"/>
    <w:rsid w:val="1A1E134D"/>
    <w:rsid w:val="1C14295A"/>
    <w:rsid w:val="222C6507"/>
    <w:rsid w:val="28AA69E9"/>
    <w:rsid w:val="327402B1"/>
    <w:rsid w:val="3687110F"/>
    <w:rsid w:val="48A12A6A"/>
    <w:rsid w:val="537F364D"/>
    <w:rsid w:val="57056381"/>
    <w:rsid w:val="62333EB8"/>
    <w:rsid w:val="6E9A781A"/>
    <w:rsid w:val="74580FEC"/>
    <w:rsid w:val="766E1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9</Pages>
  <Words>4028</Words>
  <Characters>406</Characters>
  <Lines>3</Lines>
  <Paragraphs>8</Paragraphs>
  <TotalTime>2</TotalTime>
  <ScaleCrop>false</ScaleCrop>
  <LinksUpToDate>false</LinksUpToDate>
  <CharactersWithSpaces>4426</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2018-10-09T08:52:00Z</dcterms:created>
  <dc:creator>国库</dc:creator>
  <cp:lastModifiedBy>无心之言*</cp:lastModifiedBy>
  <cp:lastPrinted>2018-10-10T00:45:00Z</cp:lastPrinted>
  <dcterms:modified xsi:type="dcterms:W3CDTF">2019-01-30T02:12:46Z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